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8" w:rsidRPr="00123557" w:rsidRDefault="00123557" w:rsidP="00123557">
      <w:pPr>
        <w:jc w:val="center"/>
        <w:rPr>
          <w:b/>
        </w:rPr>
      </w:pPr>
      <w:r w:rsidRPr="00123557">
        <w:rPr>
          <w:b/>
        </w:rPr>
        <w:t>Tier 2 NMP Project Application</w:t>
      </w:r>
    </w:p>
    <w:p w:rsidR="00123557" w:rsidRDefault="00F43F6E" w:rsidP="00123557">
      <w:pPr>
        <w:ind w:left="360"/>
        <w:jc w:val="center"/>
      </w:pPr>
      <w:r>
        <w:t xml:space="preserve">BMP Demonstration </w:t>
      </w:r>
      <w:r w:rsidR="00123557">
        <w:t>Project</w:t>
      </w:r>
    </w:p>
    <w:p w:rsidR="00123557" w:rsidRDefault="00F43F6E" w:rsidP="00123557">
      <w:pPr>
        <w:ind w:left="360"/>
        <w:jc w:val="center"/>
      </w:pPr>
      <w:r>
        <w:t>Inflow/Outflow</w:t>
      </w:r>
      <w:r w:rsidR="00123557">
        <w:t xml:space="preserve"> Monitoring Design</w:t>
      </w:r>
    </w:p>
    <w:p w:rsidR="00CE6C3F" w:rsidRDefault="00CE6C3F" w:rsidP="00123557">
      <w:pPr>
        <w:ind w:left="360"/>
        <w:jc w:val="center"/>
      </w:pPr>
      <w:r>
        <w:t>Updated September 21, 2011</w:t>
      </w:r>
    </w:p>
    <w:p w:rsidR="00123557" w:rsidRDefault="00123557" w:rsidP="00123557"/>
    <w:p w:rsidR="00257002" w:rsidRDefault="00257002" w:rsidP="00123557">
      <w:r w:rsidRPr="00257002">
        <w:rPr>
          <w:b/>
        </w:rPr>
        <w:t>Project Name:</w:t>
      </w:r>
      <w:r>
        <w:t xml:space="preserve">  _____________________________________________________</w:t>
      </w:r>
    </w:p>
    <w:p w:rsidR="00257002" w:rsidRPr="00257002" w:rsidRDefault="00257002" w:rsidP="00123557">
      <w:pPr>
        <w:rPr>
          <w:b/>
        </w:rPr>
      </w:pPr>
      <w:r w:rsidRPr="00257002">
        <w:rPr>
          <w:b/>
        </w:rPr>
        <w:t>Project Location:</w:t>
      </w:r>
    </w:p>
    <w:p w:rsidR="00257002" w:rsidRDefault="00257002" w:rsidP="00123557">
      <w:r>
        <w:tab/>
        <w:t>State:</w:t>
      </w:r>
      <w:r w:rsidRPr="00257002">
        <w:t xml:space="preserve"> </w:t>
      </w:r>
      <w:r>
        <w:t>______________________________________________________</w:t>
      </w:r>
    </w:p>
    <w:p w:rsidR="00257002" w:rsidRDefault="00257002" w:rsidP="00123557">
      <w:r>
        <w:tab/>
        <w:t>County:</w:t>
      </w:r>
      <w:r w:rsidRPr="00257002">
        <w:t xml:space="preserve"> </w:t>
      </w:r>
      <w:r>
        <w:t>____________________________________________________</w:t>
      </w:r>
    </w:p>
    <w:p w:rsidR="00257002" w:rsidRDefault="00257002" w:rsidP="00123557">
      <w:r>
        <w:tab/>
        <w:t>City/Township:</w:t>
      </w:r>
      <w:r w:rsidRPr="00257002">
        <w:t xml:space="preserve"> </w:t>
      </w:r>
      <w:r>
        <w:t>______________________________________________</w:t>
      </w:r>
    </w:p>
    <w:p w:rsidR="00257002" w:rsidRDefault="00257002" w:rsidP="00123557">
      <w:r>
        <w:tab/>
        <w:t>Watershed:</w:t>
      </w:r>
      <w:r w:rsidRPr="00257002">
        <w:t xml:space="preserve"> </w:t>
      </w:r>
      <w:r>
        <w:t>__________________________________________________</w:t>
      </w:r>
    </w:p>
    <w:p w:rsidR="008A1A54" w:rsidRDefault="008A1A54" w:rsidP="00123557"/>
    <w:p w:rsidR="00123557" w:rsidRPr="0034341E" w:rsidRDefault="008A1A54" w:rsidP="00CE47E1">
      <w:pPr>
        <w:jc w:val="center"/>
        <w:rPr>
          <w:b/>
          <w:i/>
          <w:sz w:val="22"/>
          <w:szCs w:val="22"/>
        </w:rPr>
      </w:pPr>
      <w:r w:rsidRPr="0034341E">
        <w:rPr>
          <w:b/>
          <w:i/>
          <w:sz w:val="22"/>
          <w:szCs w:val="22"/>
        </w:rPr>
        <w:t xml:space="preserve">Any information already available in a form/style similar to that required in this application </w:t>
      </w:r>
      <w:r w:rsidR="00CE47E1" w:rsidRPr="0034341E">
        <w:rPr>
          <w:b/>
          <w:i/>
          <w:sz w:val="22"/>
          <w:szCs w:val="22"/>
        </w:rPr>
        <w:t xml:space="preserve">(i.e., concise and directly responsive) </w:t>
      </w:r>
      <w:r w:rsidRPr="0034341E">
        <w:rPr>
          <w:b/>
          <w:i/>
          <w:sz w:val="22"/>
          <w:szCs w:val="22"/>
        </w:rPr>
        <w:t>can be included by reference/attachment into this application.  Identification of information by page and paragraph (as necessary) is sufficient.</w:t>
      </w:r>
      <w:r w:rsidR="00CE47E1" w:rsidRPr="0034341E">
        <w:rPr>
          <w:b/>
          <w:i/>
          <w:sz w:val="22"/>
          <w:szCs w:val="22"/>
        </w:rPr>
        <w:t xml:space="preserve">  Hyperlinks with appropriate pointers to relevant text are also suitable and, in fact, recommended.</w:t>
      </w:r>
    </w:p>
    <w:p w:rsidR="008A1A54" w:rsidRDefault="008A1A54" w:rsidP="00123557"/>
    <w:p w:rsidR="00123557" w:rsidRDefault="00BC2029" w:rsidP="00123557">
      <w:r>
        <w:rPr>
          <w:b/>
        </w:rPr>
        <w:t>Justification for BMP Demonstration Project</w:t>
      </w:r>
    </w:p>
    <w:p w:rsidR="00257002" w:rsidRDefault="00A05690" w:rsidP="00123557">
      <w:r>
        <w:t xml:space="preserve">Describe concisely the </w:t>
      </w:r>
      <w:r w:rsidR="00BC2029">
        <w:t xml:space="preserve">reasons for conducting the </w:t>
      </w:r>
      <w:r w:rsidR="00CA1ACF">
        <w:t>best management practice (</w:t>
      </w:r>
      <w:r w:rsidR="00BC2029">
        <w:t>BMP</w:t>
      </w:r>
      <w:r w:rsidR="00CA1ACF">
        <w:t>)</w:t>
      </w:r>
      <w:r w:rsidR="00BC2029">
        <w:t xml:space="preserve"> demonstration project</w:t>
      </w:r>
      <w:r w:rsidR="000635AB">
        <w:t xml:space="preserve"> depicted in Figure 1</w:t>
      </w:r>
      <w:r w:rsidR="00BC2029">
        <w:t xml:space="preserve">, including whether the BMP is innovative, </w:t>
      </w:r>
      <w:r w:rsidR="000A5881">
        <w:t xml:space="preserve">the study </w:t>
      </w:r>
      <w:r w:rsidR="000A5881" w:rsidRPr="000A5881">
        <w:rPr>
          <w:color w:val="000000"/>
        </w:rPr>
        <w:t xml:space="preserve">is important for </w:t>
      </w:r>
      <w:r w:rsidR="003538EC" w:rsidRPr="000A5881">
        <w:rPr>
          <w:color w:val="000000"/>
        </w:rPr>
        <w:t>technology transfer</w:t>
      </w:r>
      <w:r w:rsidR="000A5881" w:rsidRPr="000A5881">
        <w:rPr>
          <w:color w:val="000000"/>
        </w:rPr>
        <w:t xml:space="preserve"> purpose</w:t>
      </w:r>
      <w:r w:rsidR="000A5881">
        <w:rPr>
          <w:color w:val="000000"/>
        </w:rPr>
        <w:t>s</w:t>
      </w:r>
      <w:r w:rsidR="000A5881" w:rsidRPr="000A5881">
        <w:rPr>
          <w:color w:val="000000"/>
        </w:rPr>
        <w:t>,</w:t>
      </w:r>
      <w:r w:rsidR="003538EC" w:rsidRPr="000A5881">
        <w:rPr>
          <w:color w:val="000000"/>
        </w:rPr>
        <w:t xml:space="preserve"> </w:t>
      </w:r>
      <w:r w:rsidR="00BC2029" w:rsidRPr="000A5881">
        <w:rPr>
          <w:color w:val="000000"/>
        </w:rPr>
        <w:t>the BMP is needed to solve an important wat</w:t>
      </w:r>
      <w:r w:rsidR="00BC2029">
        <w:t>er quality problem, or effectiveness data is sorely needed because the BMP is an important part of the state or local watershed protection program.</w:t>
      </w:r>
    </w:p>
    <w:p w:rsidR="00CA1ACF" w:rsidRDefault="00CA1ACF" w:rsidP="00123557"/>
    <w:p w:rsidR="00CA1ACF" w:rsidRDefault="00CA1ACF" w:rsidP="00123557">
      <w:r>
        <w:rPr>
          <w:b/>
        </w:rPr>
        <w:t>BMP Description</w:t>
      </w:r>
    </w:p>
    <w:p w:rsidR="00123557" w:rsidRDefault="00CA1ACF" w:rsidP="00123557">
      <w:r>
        <w:t xml:space="preserve">Describe the BMP to be tested in detail sufficient to allow others to design </w:t>
      </w:r>
      <w:r w:rsidR="00C42A9D">
        <w:t xml:space="preserve">and implement </w:t>
      </w:r>
      <w:r>
        <w:t>the same BMP in other locations, including applicable standards and specifications</w:t>
      </w:r>
      <w:r w:rsidR="004160D1">
        <w:t xml:space="preserve"> (including inflow capacity)</w:t>
      </w:r>
      <w:r>
        <w:t>, design drawings, and photographs as appropriate.</w:t>
      </w:r>
      <w:r w:rsidR="00123002">
        <w:t xml:space="preserve">  Describe </w:t>
      </w:r>
      <w:r w:rsidR="008417AE">
        <w:t xml:space="preserve">the pollutants or environmental impacts the BMP is intended to control and </w:t>
      </w:r>
      <w:r w:rsidR="00123002">
        <w:t xml:space="preserve">how </w:t>
      </w:r>
      <w:r w:rsidR="006C7633">
        <w:t xml:space="preserve">(i.e., via source reduction, treatment, or transport intervention) </w:t>
      </w:r>
      <w:r w:rsidR="00123002">
        <w:t xml:space="preserve">the BMP </w:t>
      </w:r>
      <w:r w:rsidR="008417AE">
        <w:t>is expected</w:t>
      </w:r>
      <w:r w:rsidR="006C7633" w:rsidRPr="006C7633">
        <w:t xml:space="preserve"> </w:t>
      </w:r>
      <w:r w:rsidR="006C7633">
        <w:t>to improve ecological condition or</w:t>
      </w:r>
      <w:r w:rsidR="008417AE">
        <w:t xml:space="preserve"> </w:t>
      </w:r>
      <w:r w:rsidR="00123002">
        <w:t xml:space="preserve">reduce pollutant </w:t>
      </w:r>
      <w:r w:rsidR="00C42A9D">
        <w:t>concentrations or loads.</w:t>
      </w:r>
      <w:r w:rsidR="00996584">
        <w:t xml:space="preserve"> </w:t>
      </w:r>
    </w:p>
    <w:p w:rsidR="000635AB" w:rsidRDefault="000635AB" w:rsidP="00123557"/>
    <w:p w:rsidR="00FC3CA6" w:rsidRDefault="001B14CA" w:rsidP="001235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2292350</wp:posOffset>
                </wp:positionV>
                <wp:extent cx="5943600" cy="146050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4C4" w:rsidRPr="00F956D4" w:rsidRDefault="004F74C4" w:rsidP="004F74C4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 w:rsidR="00882D8D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</w:t>
                            </w:r>
                            <w:proofErr w:type="gramEnd"/>
                            <w:r>
                              <w:t xml:space="preserve">  Inflow/Outflow Monitoring of BMP Effectiveness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0;margin-top:180.5pt;width:468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jMeQIAAAEFAAAOAAAAZHJzL2Uyb0RvYy54bWysVNuO2yAQfa/Uf0C8Z22nTja24qz2UleV&#10;thdptx9AAMeoGCiQ2Nuq/94Bx9n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" stroked="f">
                <v:textbox style="mso-fit-shape-to-text:t" inset="0,0,0,0">
                  <w:txbxContent>
                    <w:p w:rsidR="004F74C4" w:rsidRPr="00F956D4" w:rsidRDefault="004F74C4" w:rsidP="004F74C4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proofErr w:type="gramStart"/>
                      <w:r>
                        <w:t xml:space="preserve">Figure </w:t>
                      </w:r>
                      <w:fldSimple w:instr=" SEQ Figure \* ARABIC ">
                        <w:r w:rsidR="00882D8D">
                          <w:rPr>
                            <w:noProof/>
                          </w:rPr>
                          <w:t>1</w:t>
                        </w:r>
                      </w:fldSimple>
                      <w:r>
                        <w:t>.</w:t>
                      </w:r>
                      <w:proofErr w:type="gramEnd"/>
                      <w:r>
                        <w:t xml:space="preserve">  Inflow/Outflow Monitoring of BMP Effectiveness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43600" cy="2235200"/>
                <wp:effectExtent l="38100" t="38100" r="28575" b="22225"/>
                <wp:wrapNone/>
                <wp:docPr id="17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828802" y="423433"/>
                            <a:ext cx="4323969" cy="1308269"/>
                            <a:chOff x="3531" y="4491"/>
                            <a:chExt cx="5238" cy="1584"/>
                          </a:xfrm>
                        </wpg:grpSpPr>
                        <wps:wsp>
                          <wps:cNvPr id="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5365"/>
                              <a:ext cx="253" cy="2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3" y="4491"/>
                              <a:ext cx="1350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43B" w:rsidRDefault="004F74C4" w:rsidP="004F74C4">
                                <w:pPr>
                                  <w:jc w:val="center"/>
                                </w:pPr>
                                <w:r>
                                  <w:t>Inflow</w:t>
                                </w:r>
                                <w:r w:rsidR="00B7643B">
                                  <w:t xml:space="preserve"> Station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4492"/>
                              <a:ext cx="1557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43B" w:rsidRDefault="004F74C4" w:rsidP="004F74C4">
                                <w:pPr>
                                  <w:jc w:val="center"/>
                                </w:pPr>
                                <w:r>
                                  <w:t>Outflo</w:t>
                                </w:r>
                                <w:r w:rsidR="00B7643B">
                                  <w:t>w Station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388" y="4884"/>
                              <a:ext cx="1524" cy="1191"/>
                              <a:chOff x="5226" y="4884"/>
                              <a:chExt cx="1524" cy="1191"/>
                            </a:xfrm>
                          </wpg:grpSpPr>
                          <wps:wsp>
                            <wps:cNvPr id="7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6" y="4884"/>
                                <a:ext cx="1524" cy="1191"/>
                              </a:xfrm>
                              <a:prstGeom prst="hexagon">
                                <a:avLst>
                                  <a:gd name="adj" fmla="val 31990"/>
                                  <a:gd name="vf" fmla="val 11547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6" y="5302"/>
                                <a:ext cx="1131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F6E" w:rsidRPr="00F43F6E" w:rsidRDefault="00F43F6E" w:rsidP="004F74C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43F6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5" y="5366"/>
                              <a:ext cx="253" cy="2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7"/>
                          <wps:cNvCnPr>
                            <a:cxnSpLocks noChangeShapeType="1"/>
                            <a:stCxn id="4" idx="2"/>
                            <a:endCxn id="9" idx="0"/>
                          </wps:cNvCnPr>
                          <wps:spPr bwMode="auto">
                            <a:xfrm>
                              <a:off x="4599" y="4884"/>
                              <a:ext cx="663" cy="4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8"/>
                          <wps:cNvCnPr>
                            <a:cxnSpLocks noChangeShapeType="1"/>
                            <a:stCxn id="5" idx="2"/>
                            <a:endCxn id="3" idx="0"/>
                          </wps:cNvCnPr>
                          <wps:spPr bwMode="auto">
                            <a:xfrm flipH="1">
                              <a:off x="7039" y="4884"/>
                              <a:ext cx="652" cy="4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531" y="5128"/>
                              <a:ext cx="1604" cy="657"/>
                              <a:chOff x="3531" y="5128"/>
                              <a:chExt cx="1604" cy="657"/>
                            </a:xfrm>
                          </wpg:grpSpPr>
                          <wps:wsp>
                            <wps:cNvPr id="13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1" y="5128"/>
                                <a:ext cx="1604" cy="65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0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5" y="5302"/>
                                <a:ext cx="734" cy="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4C4" w:rsidRPr="004F74C4" w:rsidRDefault="004F74C4" w:rsidP="004F7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74C4">
                                    <w:rPr>
                                      <w:sz w:val="20"/>
                                      <w:szCs w:val="20"/>
                                    </w:rPr>
                                    <w:t>Inflow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5" y="5197"/>
                              <a:ext cx="1604" cy="658"/>
                            </a:xfrm>
                            <a:prstGeom prst="rightArrow">
                              <a:avLst>
                                <a:gd name="adj1" fmla="val 50000"/>
                                <a:gd name="adj2" fmla="val 6094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9" y="5371"/>
                              <a:ext cx="855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74C4" w:rsidRPr="004F74C4" w:rsidRDefault="004F74C4" w:rsidP="004F74C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Out</w:t>
                                </w:r>
                                <w:r w:rsidRPr="004F74C4">
                                  <w:rPr>
                                    <w:sz w:val="20"/>
                                    <w:szCs w:val="20"/>
                                  </w:rPr>
                                  <w:t>flow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7" editas="canvas" style="position:absolute;margin-left:0;margin-top:0;width:468pt;height:176pt;z-index:251657216;mso-position-horizontal-relative:char;mso-position-vertical-relative:line" coordsize="59436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22352;visibility:visible;mso-wrap-style:square" stroked="t" strokeweight="2pt">
                  <v:fill o:detectmouseclick="t"/>
                  <v:path o:connecttype="none"/>
                </v:shape>
                <v:group id="Group 45" o:spid="_x0000_s1029" style="position:absolute;left:8288;top:4234;width:43239;height:13083" coordorigin="3531,4491" coordsize="523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20" o:spid="_x0000_s1030" style="position:absolute;left:6912;top:5365;width:25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shape id="Text Box 23" o:spid="_x0000_s1031" type="#_x0000_t202" style="position:absolute;left:3923;top:4491;width:135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7643B" w:rsidRDefault="004F74C4" w:rsidP="004F74C4">
                          <w:pPr>
                            <w:jc w:val="center"/>
                          </w:pPr>
                          <w:r>
                            <w:t>Inflow</w:t>
                          </w:r>
                          <w:r w:rsidR="00B7643B">
                            <w:t xml:space="preserve"> Station</w:t>
                          </w:r>
                        </w:p>
                      </w:txbxContent>
                    </v:textbox>
                  </v:shape>
                  <v:shape id="Text Box 24" o:spid="_x0000_s1032" type="#_x0000_t202" style="position:absolute;left:6912;top:4492;width:155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B7643B" w:rsidRDefault="004F74C4" w:rsidP="004F74C4">
                          <w:pPr>
                            <w:jc w:val="center"/>
                          </w:pPr>
                          <w:r>
                            <w:t>Outflo</w:t>
                          </w:r>
                          <w:r w:rsidR="00B7643B">
                            <w:t>w Station</w:t>
                          </w:r>
                        </w:p>
                      </w:txbxContent>
                    </v:textbox>
                  </v:shape>
                  <v:group id="Group 32" o:spid="_x0000_s1033" style="position:absolute;left:5388;top:4884;width:1524;height:1191" coordorigin="5226,4884" coordsize="152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0" o:spid="_x0000_s1034" type="#_x0000_t9" style="position:absolute;left:5226;top:4884;width:1524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oucEA&#10;AADaAAAADwAAAGRycy9kb3ducmV2LnhtbESPX2vCQBDE3wt+h2MF3+pFhVaip4jgn8fWVp+X3CYX&#10;zO6F3Knx2/cKhT4OM/MbZrnuuVF36kLtxcBknIEiKbytpTLw/bV7nYMKEcVi44UMPCnAejV4WWJu&#10;/UM+6X6KlUoQCTkacDG2udahcMQYxr4lSV7pO8aYZFdp2+EjwbnR0yx704y1pAWHLW0dFdfTjQ2U&#10;e/dx5nAMfDnvDlT202zGe2NGw36zABWpj//hv/bRGniH3yvpBu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HqLnBAAAA2gAAAA8AAAAAAAAAAAAAAAAAmAIAAGRycy9kb3du&#10;cmV2LnhtbFBLBQYAAAAABAAEAPUAAACGAwAAAAA=&#10;" fillcolor="#d8d8d8"/>
                    <v:shape id="Text Box 31" o:spid="_x0000_s1035" type="#_x0000_t202" style="position:absolute;left:5446;top:5302;width:113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FlcAA&#10;AADaAAAADwAAAGRycy9kb3ducmV2LnhtbERPPW/CMBDdK/U/WFepW+PQoapCDELQqp1QCYj5FF/i&#10;QHxOY5MEfj0eKnV8et/5crKtGKj3jWMFsyQFQVw63XCt4LD/fHkH4QOyxtYxKbiSh+Xi8SHHTLuR&#10;dzQUoRYxhH2GCkwIXSalLw1Z9InriCNXud5iiLCvpe5xjOG2la9p+iYtNhwbDHa0NlSei4tVQJX9&#10;COn6WhxP+PVz2Va3X8MbpZ6fptUcRKAp/Iv/3N9aQdwar8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LFlcAAAADaAAAADwAAAAAAAAAAAAAAAACYAgAAZHJzL2Rvd25y&#10;ZXYueG1sUEsFBgAAAAAEAAQA9QAAAIUDAAAAAA==&#10;" fillcolor="#d8d8d8" stroked="f">
                      <v:textbox>
                        <w:txbxContent>
                          <w:p w:rsidR="00F43F6E" w:rsidRPr="00F43F6E" w:rsidRDefault="00F43F6E" w:rsidP="004F74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3F6E">
                              <w:rPr>
                                <w:b/>
                                <w:sz w:val="32"/>
                                <w:szCs w:val="32"/>
                              </w:rPr>
                              <w:t>BMP</w:t>
                            </w:r>
                          </w:p>
                        </w:txbxContent>
                      </v:textbox>
                    </v:shape>
                  </v:group>
                  <v:oval id="Oval 36" o:spid="_x0000_s1036" style="position:absolute;left:5135;top:5366;width:253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37" type="#_x0000_t32" style="position:absolute;left:4599;top:4884;width:663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38" o:spid="_x0000_s1038" type="#_x0000_t32" style="position:absolute;left:7039;top:4884;width:652;height:4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group id="Group 40" o:spid="_x0000_s1039" style="position:absolute;left:3531;top:5128;width:1604;height:657" coordorigin="3531,5128" coordsize="1604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3" o:spid="_x0000_s1040" type="#_x0000_t13" style="position:absolute;left:3531;top:5128;width:1604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rzcEA&#10;AADbAAAADwAAAGRycy9kb3ducmV2LnhtbERPS2vCQBC+C/0PyxS8mUlbEE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a83BAAAA2wAAAA8AAAAAAAAAAAAAAAAAmAIAAGRycy9kb3du&#10;cmV2LnhtbFBLBQYAAAAABAAEAPUAAACGAwAAAAA=&#10;"/>
                    <v:shape id="Text Box 39" o:spid="_x0000_s1041" type="#_x0000_t202" style="position:absolute;left:3865;top:5302;width:73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4F74C4" w:rsidRPr="004F74C4" w:rsidRDefault="004F74C4" w:rsidP="004F7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74C4">
                              <w:rPr>
                                <w:sz w:val="20"/>
                                <w:szCs w:val="20"/>
                              </w:rPr>
                              <w:t>Inflow</w:t>
                            </w:r>
                          </w:p>
                        </w:txbxContent>
                      </v:textbox>
                    </v:shape>
                  </v:group>
                  <v:shape id="AutoShape 43" o:spid="_x0000_s1042" type="#_x0000_t13" style="position:absolute;left:7165;top:5197;width:160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IsEA&#10;AADbAAAADwAAAGRycy9kb3ducmV2LnhtbERPS2vCQBC+C/0PyxS8mUkLF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ViLBAAAA2wAAAA8AAAAAAAAAAAAAAAAAmAIAAGRycy9kb3du&#10;cmV2LnhtbFBLBQYAAAAABAAEAPUAAACGAwAAAAA=&#10;"/>
                  <v:shape id="Text Box 44" o:spid="_x0000_s1043" type="#_x0000_t202" style="position:absolute;left:7499;top:5371;width:85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4F74C4" w:rsidRPr="004F74C4" w:rsidRDefault="004F74C4" w:rsidP="004F74C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Out</w:t>
                          </w:r>
                          <w:r w:rsidRPr="004F74C4">
                            <w:rPr>
                              <w:sz w:val="20"/>
                              <w:szCs w:val="20"/>
                            </w:rPr>
                            <w:t>flow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22574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68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Kb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123557" w:rsidRDefault="00123557" w:rsidP="00123557">
      <w:r w:rsidRPr="00286405">
        <w:rPr>
          <w:b/>
        </w:rPr>
        <w:t>Watershed characterization</w:t>
      </w:r>
    </w:p>
    <w:p w:rsidR="004F74C4" w:rsidRDefault="004F74C4" w:rsidP="00123557"/>
    <w:p w:rsidR="007453D4" w:rsidRPr="00286405" w:rsidRDefault="00DF51CE" w:rsidP="007453D4">
      <w:r>
        <w:rPr>
          <w:b/>
        </w:rPr>
        <w:br w:type="page"/>
      </w:r>
      <w:r w:rsidR="00C42A9D">
        <w:rPr>
          <w:b/>
        </w:rPr>
        <w:lastRenderedPageBreak/>
        <w:t>Setting</w:t>
      </w:r>
    </w:p>
    <w:p w:rsidR="00123557" w:rsidRDefault="00286405" w:rsidP="00123557">
      <w:r>
        <w:t xml:space="preserve">Provide a 1 page or less </w:t>
      </w:r>
      <w:r w:rsidR="007453D4">
        <w:t xml:space="preserve">description of </w:t>
      </w:r>
      <w:r>
        <w:t xml:space="preserve">the </w:t>
      </w:r>
      <w:r w:rsidR="00C42A9D">
        <w:t>setting in which the BMP will be tested, including inflow quality and all significant factors affecting inflow quality and BMP performance.</w:t>
      </w:r>
    </w:p>
    <w:p w:rsidR="001A692E" w:rsidRDefault="001A692E" w:rsidP="00123557"/>
    <w:p w:rsidR="001A692E" w:rsidRDefault="001A692E" w:rsidP="00123557">
      <w:r>
        <w:rPr>
          <w:b/>
        </w:rPr>
        <w:t>Climate</w:t>
      </w:r>
    </w:p>
    <w:p w:rsidR="00123557" w:rsidRDefault="001A692E" w:rsidP="00123557">
      <w:r>
        <w:t>Provide monthly average precipitation totals for</w:t>
      </w:r>
      <w:r w:rsidR="009B0063">
        <w:t xml:space="preserve"> the</w:t>
      </w:r>
      <w:r>
        <w:t xml:space="preserve"> nearest weather station in Table </w:t>
      </w:r>
      <w:r w:rsidR="000635AB">
        <w:t>1</w:t>
      </w:r>
      <w:r>
        <w:t>.</w:t>
      </w:r>
      <w:r w:rsidR="00835ECD">
        <w:t xml:space="preserve">  Identify weather station, its distance from the </w:t>
      </w:r>
      <w:r w:rsidR="008417AE">
        <w:t>BMP demonstration site</w:t>
      </w:r>
      <w:r w:rsidR="00835ECD">
        <w:t>, and the timeframe of record used to determine averages.</w:t>
      </w:r>
    </w:p>
    <w:p w:rsidR="00835ECD" w:rsidRDefault="00835ECD" w:rsidP="00123557"/>
    <w:p w:rsidR="001A692E" w:rsidRDefault="001A692E" w:rsidP="001A692E">
      <w:pPr>
        <w:pStyle w:val="Caption"/>
        <w:keepNext/>
      </w:pPr>
      <w:proofErr w:type="gramStart"/>
      <w:r>
        <w:t xml:space="preserve">Table </w:t>
      </w:r>
      <w:fldSimple w:instr=" SEQ Table \* ARABIC ">
        <w:r w:rsidR="00882D8D">
          <w:rPr>
            <w:noProof/>
          </w:rPr>
          <w:t>1</w:t>
        </w:r>
      </w:fldSimple>
      <w:r>
        <w:t>.</w:t>
      </w:r>
      <w:proofErr w:type="gramEnd"/>
      <w:r>
        <w:t xml:space="preserve">  Average precipitation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692E">
        <w:tc>
          <w:tcPr>
            <w:tcW w:w="2394" w:type="dxa"/>
            <w:shd w:val="clear" w:color="auto" w:fill="D9D9D9"/>
          </w:tcPr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Month</w:t>
            </w:r>
          </w:p>
        </w:tc>
        <w:tc>
          <w:tcPr>
            <w:tcW w:w="2394" w:type="dxa"/>
            <w:shd w:val="clear" w:color="auto" w:fill="D9D9D9"/>
          </w:tcPr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Average Precipitation</w:t>
            </w:r>
          </w:p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(inches)</w:t>
            </w:r>
          </w:p>
        </w:tc>
        <w:tc>
          <w:tcPr>
            <w:tcW w:w="2394" w:type="dxa"/>
            <w:shd w:val="clear" w:color="auto" w:fill="D9D9D9"/>
          </w:tcPr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Month</w:t>
            </w:r>
          </w:p>
        </w:tc>
        <w:tc>
          <w:tcPr>
            <w:tcW w:w="2394" w:type="dxa"/>
            <w:shd w:val="clear" w:color="auto" w:fill="D9D9D9"/>
          </w:tcPr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Average Precipitation</w:t>
            </w:r>
          </w:p>
          <w:p w:rsidR="001A692E" w:rsidRPr="00B975A0" w:rsidRDefault="001A692E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(inches)</w:t>
            </w:r>
          </w:p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January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July</w:t>
            </w:r>
          </w:p>
        </w:tc>
        <w:tc>
          <w:tcPr>
            <w:tcW w:w="2394" w:type="dxa"/>
          </w:tcPr>
          <w:p w:rsidR="001A692E" w:rsidRDefault="001A692E" w:rsidP="00123557"/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February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August</w:t>
            </w:r>
          </w:p>
        </w:tc>
        <w:tc>
          <w:tcPr>
            <w:tcW w:w="2394" w:type="dxa"/>
          </w:tcPr>
          <w:p w:rsidR="001A692E" w:rsidRDefault="001A692E" w:rsidP="00123557"/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March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September</w:t>
            </w:r>
          </w:p>
        </w:tc>
        <w:tc>
          <w:tcPr>
            <w:tcW w:w="2394" w:type="dxa"/>
          </w:tcPr>
          <w:p w:rsidR="001A692E" w:rsidRDefault="001A692E" w:rsidP="00123557"/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April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October</w:t>
            </w:r>
          </w:p>
        </w:tc>
        <w:tc>
          <w:tcPr>
            <w:tcW w:w="2394" w:type="dxa"/>
          </w:tcPr>
          <w:p w:rsidR="001A692E" w:rsidRDefault="001A692E" w:rsidP="00123557"/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May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November</w:t>
            </w:r>
          </w:p>
        </w:tc>
        <w:tc>
          <w:tcPr>
            <w:tcW w:w="2394" w:type="dxa"/>
          </w:tcPr>
          <w:p w:rsidR="001A692E" w:rsidRDefault="001A692E" w:rsidP="00123557"/>
        </w:tc>
      </w:tr>
      <w:tr w:rsidR="001A692E">
        <w:tc>
          <w:tcPr>
            <w:tcW w:w="2394" w:type="dxa"/>
          </w:tcPr>
          <w:p w:rsidR="001A692E" w:rsidRDefault="001A692E" w:rsidP="00123557">
            <w:r>
              <w:t>June</w:t>
            </w:r>
          </w:p>
        </w:tc>
        <w:tc>
          <w:tcPr>
            <w:tcW w:w="2394" w:type="dxa"/>
          </w:tcPr>
          <w:p w:rsidR="001A692E" w:rsidRDefault="001A692E" w:rsidP="00123557"/>
        </w:tc>
        <w:tc>
          <w:tcPr>
            <w:tcW w:w="2394" w:type="dxa"/>
          </w:tcPr>
          <w:p w:rsidR="001A692E" w:rsidRDefault="001A692E" w:rsidP="00123557">
            <w:r>
              <w:t>December</w:t>
            </w:r>
          </w:p>
        </w:tc>
        <w:tc>
          <w:tcPr>
            <w:tcW w:w="2394" w:type="dxa"/>
          </w:tcPr>
          <w:p w:rsidR="001A692E" w:rsidRDefault="001A692E" w:rsidP="00123557"/>
        </w:tc>
      </w:tr>
    </w:tbl>
    <w:p w:rsidR="001A692E" w:rsidRDefault="001A692E" w:rsidP="00123557"/>
    <w:p w:rsidR="00123557" w:rsidRDefault="00835ECD" w:rsidP="00123557">
      <w:r>
        <w:t xml:space="preserve">Weather station location:  ___ In watershed   </w:t>
      </w:r>
      <w:proofErr w:type="gramStart"/>
      <w:r>
        <w:t>OR  _</w:t>
      </w:r>
      <w:proofErr w:type="gramEnd"/>
      <w:r>
        <w:t>__ miles from watershed center.</w:t>
      </w:r>
    </w:p>
    <w:p w:rsidR="00835ECD" w:rsidRDefault="00835ECD" w:rsidP="00123557">
      <w:r>
        <w:t>Beginning ______ and Ending ______ years of data record.</w:t>
      </w:r>
    </w:p>
    <w:p w:rsidR="00A05690" w:rsidRDefault="00A05690" w:rsidP="00123557"/>
    <w:p w:rsidR="00A05690" w:rsidRDefault="00A05690" w:rsidP="00123557">
      <w:r>
        <w:rPr>
          <w:b/>
        </w:rPr>
        <w:t>Quantitative Water Quality Objectives</w:t>
      </w:r>
    </w:p>
    <w:p w:rsidR="000A5805" w:rsidRPr="006C7633" w:rsidRDefault="00A05690" w:rsidP="00123557">
      <w:pPr>
        <w:rPr>
          <w:color w:val="000000"/>
        </w:rPr>
      </w:pPr>
      <w:r>
        <w:t xml:space="preserve">Provide a clear statement of quantitative water quality objectives for the </w:t>
      </w:r>
      <w:r w:rsidR="008417AE">
        <w:t xml:space="preserve">demonstration </w:t>
      </w:r>
      <w:r>
        <w:t>project</w:t>
      </w:r>
      <w:r w:rsidR="000A5805">
        <w:t xml:space="preserve">.  Objectives must be </w:t>
      </w:r>
      <w:r w:rsidR="008417AE">
        <w:t xml:space="preserve">specific to the pollutants or impacts the BMP is designed </w:t>
      </w:r>
      <w:r w:rsidR="008417AE" w:rsidRPr="006C7633">
        <w:rPr>
          <w:color w:val="000000"/>
        </w:rPr>
        <w:t xml:space="preserve">to </w:t>
      </w:r>
      <w:r w:rsidR="003538EC" w:rsidRPr="006C7633">
        <w:rPr>
          <w:color w:val="000000"/>
        </w:rPr>
        <w:t xml:space="preserve">reduce, </w:t>
      </w:r>
      <w:r w:rsidR="008417AE" w:rsidRPr="006C7633">
        <w:rPr>
          <w:color w:val="000000"/>
        </w:rPr>
        <w:t>control</w:t>
      </w:r>
      <w:r w:rsidR="006C7633">
        <w:rPr>
          <w:color w:val="000000"/>
        </w:rPr>
        <w:t>,</w:t>
      </w:r>
      <w:r w:rsidR="008417AE" w:rsidRPr="006C7633">
        <w:rPr>
          <w:color w:val="000000"/>
        </w:rPr>
        <w:t xml:space="preserve"> </w:t>
      </w:r>
      <w:r w:rsidR="003538EC" w:rsidRPr="006C7633">
        <w:rPr>
          <w:color w:val="000000"/>
        </w:rPr>
        <w:t xml:space="preserve">or remediate </w:t>
      </w:r>
      <w:r w:rsidR="008417AE" w:rsidRPr="006C7633">
        <w:rPr>
          <w:color w:val="000000"/>
        </w:rPr>
        <w:t xml:space="preserve">and be </w:t>
      </w:r>
      <w:r w:rsidR="000A5805" w:rsidRPr="006C7633">
        <w:rPr>
          <w:color w:val="000000"/>
        </w:rPr>
        <w:t xml:space="preserve">achievable within the project timeframe.  </w:t>
      </w:r>
    </w:p>
    <w:p w:rsidR="000A5805" w:rsidRPr="006C7633" w:rsidRDefault="000A5805" w:rsidP="00123557">
      <w:pPr>
        <w:rPr>
          <w:color w:val="000000"/>
        </w:rPr>
      </w:pPr>
    </w:p>
    <w:p w:rsidR="000A5805" w:rsidRDefault="000A5805" w:rsidP="00123557">
      <w:r>
        <w:t xml:space="preserve">Example:  To </w:t>
      </w:r>
      <w:r w:rsidR="008417AE">
        <w:t xml:space="preserve">measure total nitrogen </w:t>
      </w:r>
      <w:r>
        <w:t>reduc</w:t>
      </w:r>
      <w:r w:rsidR="008417AE">
        <w:t>tion achieved by the BMP by comparing inflow and outflow weekly mean concentrations and loads over a three-year period.</w:t>
      </w:r>
    </w:p>
    <w:p w:rsidR="005A28C1" w:rsidRDefault="005A28C1" w:rsidP="00123557"/>
    <w:p w:rsidR="005A28C1" w:rsidRPr="005A28C1" w:rsidRDefault="005A28C1" w:rsidP="00123557">
      <w:r>
        <w:rPr>
          <w:b/>
        </w:rPr>
        <w:t>Project Management</w:t>
      </w:r>
    </w:p>
    <w:p w:rsidR="005A28C1" w:rsidRDefault="004A03AF" w:rsidP="00123557">
      <w:r>
        <w:t>Each Tier 2 NMP project is required to have a designated project manager whose duty is to oversee the entire project and ensure that all activities are completed as described and on time.</w:t>
      </w:r>
    </w:p>
    <w:p w:rsidR="004A03AF" w:rsidRDefault="004A03AF" w:rsidP="00123557"/>
    <w:p w:rsidR="004A03AF" w:rsidRDefault="004A03AF" w:rsidP="00123557">
      <w:r>
        <w:t>Project Manager:  _________________________________________________</w:t>
      </w:r>
    </w:p>
    <w:p w:rsidR="008A1A54" w:rsidRDefault="008A1A54" w:rsidP="00123557"/>
    <w:p w:rsidR="008A1A54" w:rsidRDefault="008A1A54" w:rsidP="00123557">
      <w:r>
        <w:t>Describe in 1 page or less how Project Manager will ensure that project objectives are achieved within the specified timeframe.</w:t>
      </w:r>
    </w:p>
    <w:p w:rsidR="008A1A54" w:rsidRDefault="008A1A54" w:rsidP="00123557"/>
    <w:p w:rsidR="008A1A54" w:rsidRDefault="008A1A54" w:rsidP="00123557">
      <w:r>
        <w:rPr>
          <w:b/>
        </w:rPr>
        <w:t>Monitoring Plan</w:t>
      </w:r>
    </w:p>
    <w:p w:rsidR="00CE47E1" w:rsidRDefault="00CE47E1" w:rsidP="00123557">
      <w:r>
        <w:t xml:space="preserve">A tightly designed monitoring </w:t>
      </w:r>
      <w:r w:rsidRPr="006C7633">
        <w:rPr>
          <w:color w:val="000000"/>
        </w:rPr>
        <w:t xml:space="preserve">plan is </w:t>
      </w:r>
      <w:r w:rsidR="003538EC" w:rsidRPr="006C7633">
        <w:rPr>
          <w:color w:val="000000"/>
        </w:rPr>
        <w:t xml:space="preserve">required </w:t>
      </w:r>
      <w:r w:rsidRPr="006C7633">
        <w:rPr>
          <w:color w:val="000000"/>
        </w:rPr>
        <w:t>of</w:t>
      </w:r>
      <w:r>
        <w:t xml:space="preserve"> all Tier 2 projects.  The list of monitoring variables should be short, linked directly to the </w:t>
      </w:r>
      <w:r w:rsidR="008417AE">
        <w:t xml:space="preserve">pollutants and </w:t>
      </w:r>
      <w:r>
        <w:t>water quality problems</w:t>
      </w:r>
      <w:r w:rsidR="008417AE">
        <w:t xml:space="preserve"> to be addressed by the BMP.  </w:t>
      </w:r>
      <w:r>
        <w:t>Monitoring frequency must be sufficient to detect the minimum detectable change estimated by the project.</w:t>
      </w:r>
      <w:r w:rsidR="008417AE">
        <w:t xml:space="preserve">  </w:t>
      </w:r>
      <w:r>
        <w:t>All monitoring variables</w:t>
      </w:r>
      <w:r w:rsidR="00B95000">
        <w:t xml:space="preserve"> (chemistry, biology, habitat, precipitation, flow, land use/land treatment, etc.) </w:t>
      </w:r>
      <w:r>
        <w:t xml:space="preserve">are to be reported in Table </w:t>
      </w:r>
      <w:r w:rsidR="0034341E">
        <w:t>2</w:t>
      </w:r>
      <w:r w:rsidR="000176B0">
        <w:t xml:space="preserve">, which </w:t>
      </w:r>
      <w:r w:rsidR="000176B0">
        <w:lastRenderedPageBreak/>
        <w:t>includes an example</w:t>
      </w:r>
      <w:r>
        <w:t>.</w:t>
      </w:r>
      <w:r w:rsidR="00B95000">
        <w:t xml:space="preserve">  Additional discussion of how variables will be used in </w:t>
      </w:r>
      <w:r w:rsidR="008417AE">
        <w:t xml:space="preserve">BMP </w:t>
      </w:r>
      <w:r w:rsidR="00B95000">
        <w:t>evaluation should be provided under “Data Management and Analysis.”</w:t>
      </w:r>
    </w:p>
    <w:p w:rsidR="00CE47E1" w:rsidRDefault="00CE47E1" w:rsidP="00123557"/>
    <w:p w:rsidR="00CE47E1" w:rsidRDefault="00CE47E1" w:rsidP="00CE47E1">
      <w:pPr>
        <w:pStyle w:val="Caption"/>
        <w:keepNext/>
      </w:pPr>
      <w:proofErr w:type="gramStart"/>
      <w:r>
        <w:t xml:space="preserve">Table </w:t>
      </w:r>
      <w:fldSimple w:instr=" SEQ Table \* ARABIC ">
        <w:r w:rsidR="00882D8D">
          <w:rPr>
            <w:noProof/>
          </w:rPr>
          <w:t>2</w:t>
        </w:r>
      </w:fldSimple>
      <w:r>
        <w:t>.</w:t>
      </w:r>
      <w:proofErr w:type="gramEnd"/>
      <w:r>
        <w:t xml:space="preserve">  Monitoring Variables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350"/>
        <w:gridCol w:w="3510"/>
      </w:tblGrid>
      <w:tr w:rsidR="00CE47E1">
        <w:tc>
          <w:tcPr>
            <w:tcW w:w="1368" w:type="dxa"/>
            <w:shd w:val="clear" w:color="auto" w:fill="D9D9D9"/>
          </w:tcPr>
          <w:p w:rsidR="00CE47E1" w:rsidRPr="00B975A0" w:rsidRDefault="00CE47E1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Variable</w:t>
            </w:r>
          </w:p>
        </w:tc>
        <w:tc>
          <w:tcPr>
            <w:tcW w:w="1530" w:type="dxa"/>
            <w:shd w:val="clear" w:color="auto" w:fill="D9D9D9"/>
          </w:tcPr>
          <w:p w:rsidR="00CE47E1" w:rsidRPr="00B975A0" w:rsidRDefault="00CE47E1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Detection Limit</w:t>
            </w:r>
          </w:p>
        </w:tc>
        <w:tc>
          <w:tcPr>
            <w:tcW w:w="1350" w:type="dxa"/>
            <w:shd w:val="clear" w:color="auto" w:fill="D9D9D9"/>
          </w:tcPr>
          <w:p w:rsidR="00CE47E1" w:rsidRPr="00B975A0" w:rsidRDefault="00B95000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Upper Limit</w:t>
            </w:r>
          </w:p>
        </w:tc>
        <w:tc>
          <w:tcPr>
            <w:tcW w:w="1350" w:type="dxa"/>
            <w:shd w:val="clear" w:color="auto" w:fill="D9D9D9"/>
          </w:tcPr>
          <w:p w:rsidR="00CE47E1" w:rsidRPr="00B975A0" w:rsidRDefault="00CE47E1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Method (EPA, USGS, etc.)</w:t>
            </w:r>
          </w:p>
        </w:tc>
        <w:tc>
          <w:tcPr>
            <w:tcW w:w="3510" w:type="dxa"/>
            <w:shd w:val="clear" w:color="auto" w:fill="D9D9D9"/>
          </w:tcPr>
          <w:p w:rsidR="00CE47E1" w:rsidRPr="00B975A0" w:rsidRDefault="00CE47E1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How to be used in project evaluation.</w:t>
            </w:r>
          </w:p>
        </w:tc>
      </w:tr>
      <w:tr w:rsidR="00CE47E1">
        <w:tc>
          <w:tcPr>
            <w:tcW w:w="1368" w:type="dxa"/>
          </w:tcPr>
          <w:p w:rsidR="00CE47E1" w:rsidRPr="00B975A0" w:rsidRDefault="00425385" w:rsidP="000F614D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 xml:space="preserve">Total </w:t>
            </w:r>
            <w:r w:rsidR="000F614D" w:rsidRPr="00B975A0">
              <w:rPr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:rsidR="00CE47E1" w:rsidRPr="00B975A0" w:rsidRDefault="000F614D" w:rsidP="000F614D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0.01</w:t>
            </w:r>
            <w:r w:rsidR="00B95000" w:rsidRPr="00B975A0">
              <w:rPr>
                <w:sz w:val="20"/>
                <w:szCs w:val="20"/>
              </w:rPr>
              <w:t xml:space="preserve"> mg/L</w:t>
            </w:r>
            <w:r w:rsidRPr="00B975A0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350" w:type="dxa"/>
          </w:tcPr>
          <w:p w:rsidR="00CE47E1" w:rsidRPr="00B975A0" w:rsidRDefault="000F614D" w:rsidP="00123557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20 mg/L P</w:t>
            </w:r>
          </w:p>
        </w:tc>
        <w:tc>
          <w:tcPr>
            <w:tcW w:w="1350" w:type="dxa"/>
          </w:tcPr>
          <w:p w:rsidR="00CE47E1" w:rsidRPr="00B975A0" w:rsidRDefault="000F614D" w:rsidP="00123557">
            <w:pPr>
              <w:rPr>
                <w:sz w:val="20"/>
                <w:szCs w:val="20"/>
                <w:highlight w:val="yellow"/>
              </w:rPr>
            </w:pPr>
            <w:r w:rsidRPr="00B975A0">
              <w:rPr>
                <w:sz w:val="20"/>
                <w:szCs w:val="20"/>
              </w:rPr>
              <w:t>EPA Method 365.4</w:t>
            </w:r>
          </w:p>
        </w:tc>
        <w:tc>
          <w:tcPr>
            <w:tcW w:w="3510" w:type="dxa"/>
          </w:tcPr>
          <w:p w:rsidR="00CE47E1" w:rsidRPr="00B975A0" w:rsidRDefault="00B95000" w:rsidP="008417AE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 xml:space="preserve">To measure effectiveness of </w:t>
            </w:r>
            <w:r w:rsidR="008417AE">
              <w:rPr>
                <w:sz w:val="20"/>
                <w:szCs w:val="20"/>
              </w:rPr>
              <w:t xml:space="preserve">BMP.  </w:t>
            </w:r>
            <w:r w:rsidR="00425385" w:rsidRPr="00B975A0">
              <w:rPr>
                <w:sz w:val="20"/>
                <w:szCs w:val="20"/>
              </w:rPr>
              <w:t>Dependent variable.</w:t>
            </w:r>
          </w:p>
        </w:tc>
      </w:tr>
      <w:tr w:rsidR="00CE47E1">
        <w:tc>
          <w:tcPr>
            <w:tcW w:w="1368" w:type="dxa"/>
          </w:tcPr>
          <w:p w:rsidR="00CE47E1" w:rsidRPr="00B975A0" w:rsidRDefault="008417AE" w:rsidP="0042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 residence time</w:t>
            </w:r>
          </w:p>
        </w:tc>
        <w:tc>
          <w:tcPr>
            <w:tcW w:w="1530" w:type="dxa"/>
          </w:tcPr>
          <w:p w:rsidR="00CE47E1" w:rsidRPr="00B975A0" w:rsidRDefault="008417AE" w:rsidP="0042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350" w:type="dxa"/>
          </w:tcPr>
          <w:p w:rsidR="00CE47E1" w:rsidRPr="00B975A0" w:rsidRDefault="00425385" w:rsidP="00123557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:rsidR="00CE47E1" w:rsidRPr="00B975A0" w:rsidRDefault="008417AE" w:rsidP="001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 tracer</w:t>
            </w:r>
          </w:p>
        </w:tc>
        <w:tc>
          <w:tcPr>
            <w:tcW w:w="3510" w:type="dxa"/>
          </w:tcPr>
          <w:p w:rsidR="00CE47E1" w:rsidRPr="00B975A0" w:rsidRDefault="00425385" w:rsidP="008417AE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 xml:space="preserve">To </w:t>
            </w:r>
            <w:r w:rsidR="008417AE">
              <w:rPr>
                <w:sz w:val="20"/>
                <w:szCs w:val="20"/>
              </w:rPr>
              <w:t>characterize BMP performance and provide a design spec for future applications</w:t>
            </w:r>
            <w:r w:rsidRPr="00B975A0">
              <w:rPr>
                <w:sz w:val="20"/>
                <w:szCs w:val="20"/>
              </w:rPr>
              <w:t>.  Independent variable.</w:t>
            </w:r>
          </w:p>
        </w:tc>
      </w:tr>
      <w:tr w:rsidR="00CE47E1">
        <w:tc>
          <w:tcPr>
            <w:tcW w:w="1368" w:type="dxa"/>
          </w:tcPr>
          <w:p w:rsidR="00CE47E1" w:rsidRPr="00B975A0" w:rsidRDefault="00CE47E1" w:rsidP="008A63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</w:tr>
      <w:tr w:rsidR="00CE47E1">
        <w:tc>
          <w:tcPr>
            <w:tcW w:w="1368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</w:tr>
      <w:tr w:rsidR="00CE47E1">
        <w:tc>
          <w:tcPr>
            <w:tcW w:w="1368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</w:tr>
      <w:tr w:rsidR="00B95000">
        <w:tc>
          <w:tcPr>
            <w:tcW w:w="1368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</w:tr>
      <w:tr w:rsidR="00B95000">
        <w:tc>
          <w:tcPr>
            <w:tcW w:w="1368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</w:tr>
      <w:tr w:rsidR="00CE47E1">
        <w:tc>
          <w:tcPr>
            <w:tcW w:w="1368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</w:tr>
      <w:tr w:rsidR="00CE47E1">
        <w:tc>
          <w:tcPr>
            <w:tcW w:w="1368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E47E1" w:rsidRPr="00B975A0" w:rsidRDefault="00CE47E1" w:rsidP="00123557">
            <w:pPr>
              <w:rPr>
                <w:sz w:val="20"/>
                <w:szCs w:val="20"/>
              </w:rPr>
            </w:pPr>
          </w:p>
        </w:tc>
      </w:tr>
      <w:tr w:rsidR="00B95000">
        <w:tc>
          <w:tcPr>
            <w:tcW w:w="1368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B95000" w:rsidRPr="00B975A0" w:rsidRDefault="00B95000" w:rsidP="00123557">
            <w:pPr>
              <w:rPr>
                <w:sz w:val="20"/>
                <w:szCs w:val="20"/>
              </w:rPr>
            </w:pPr>
          </w:p>
        </w:tc>
      </w:tr>
    </w:tbl>
    <w:p w:rsidR="00CE47E1" w:rsidRPr="008A1A54" w:rsidRDefault="00CE47E1" w:rsidP="00123557"/>
    <w:p w:rsidR="002D14E0" w:rsidRDefault="000176B0" w:rsidP="00123557">
      <w:r>
        <w:t>Sampling frequency</w:t>
      </w:r>
      <w:r w:rsidR="00425385">
        <w:t xml:space="preserve"> (and compositing information) for each variable </w:t>
      </w:r>
      <w:r w:rsidR="009B0063">
        <w:t>is</w:t>
      </w:r>
      <w:r w:rsidR="00425385">
        <w:t xml:space="preserve"> reported in Table </w:t>
      </w:r>
      <w:r w:rsidR="0034341E">
        <w:t>3</w:t>
      </w:r>
      <w:r w:rsidR="00425385">
        <w:t>, which includes an example.</w:t>
      </w:r>
    </w:p>
    <w:p w:rsidR="00425385" w:rsidRDefault="00425385" w:rsidP="00123557"/>
    <w:p w:rsidR="00425385" w:rsidRDefault="00425385" w:rsidP="00425385">
      <w:pPr>
        <w:pStyle w:val="Caption"/>
        <w:keepNext/>
      </w:pPr>
      <w:proofErr w:type="gramStart"/>
      <w:r>
        <w:t xml:space="preserve">Table </w:t>
      </w:r>
      <w:fldSimple w:instr=" SEQ Table \* ARABIC ">
        <w:r w:rsidR="00882D8D">
          <w:rPr>
            <w:noProof/>
          </w:rPr>
          <w:t>3</w:t>
        </w:r>
      </w:fldSimple>
      <w:r>
        <w:t>.</w:t>
      </w:r>
      <w:proofErr w:type="gramEnd"/>
      <w:r>
        <w:t xml:space="preserve"> Sampling Frequency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523"/>
        <w:gridCol w:w="1507"/>
        <w:gridCol w:w="1829"/>
        <w:gridCol w:w="3015"/>
      </w:tblGrid>
      <w:tr w:rsidR="000F614D" w:rsidRPr="00B975A0">
        <w:tc>
          <w:tcPr>
            <w:tcW w:w="1746" w:type="dxa"/>
            <w:shd w:val="clear" w:color="auto" w:fill="D9D9D9"/>
          </w:tcPr>
          <w:p w:rsidR="000F614D" w:rsidRPr="00B975A0" w:rsidRDefault="000F614D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Variable</w:t>
            </w:r>
          </w:p>
        </w:tc>
        <w:tc>
          <w:tcPr>
            <w:tcW w:w="1294" w:type="dxa"/>
            <w:shd w:val="clear" w:color="auto" w:fill="D9D9D9"/>
          </w:tcPr>
          <w:p w:rsidR="000F614D" w:rsidRPr="00B975A0" w:rsidRDefault="000F614D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Preservation</w:t>
            </w:r>
          </w:p>
        </w:tc>
        <w:tc>
          <w:tcPr>
            <w:tcW w:w="1542" w:type="dxa"/>
            <w:shd w:val="clear" w:color="auto" w:fill="D9D9D9"/>
          </w:tcPr>
          <w:p w:rsidR="000F614D" w:rsidRPr="00B975A0" w:rsidRDefault="000F614D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Holding Time</w:t>
            </w:r>
          </w:p>
        </w:tc>
        <w:tc>
          <w:tcPr>
            <w:tcW w:w="1868" w:type="dxa"/>
            <w:shd w:val="clear" w:color="auto" w:fill="D9D9D9"/>
          </w:tcPr>
          <w:p w:rsidR="000F614D" w:rsidRPr="00B975A0" w:rsidRDefault="000F614D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Sampling Frequency</w:t>
            </w:r>
          </w:p>
        </w:tc>
        <w:tc>
          <w:tcPr>
            <w:tcW w:w="3126" w:type="dxa"/>
            <w:shd w:val="clear" w:color="auto" w:fill="D9D9D9"/>
          </w:tcPr>
          <w:p w:rsidR="000F614D" w:rsidRPr="00B975A0" w:rsidRDefault="000F614D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Sample Compositing</w:t>
            </w:r>
          </w:p>
        </w:tc>
      </w:tr>
      <w:tr w:rsidR="000F614D">
        <w:tc>
          <w:tcPr>
            <w:tcW w:w="1746" w:type="dxa"/>
          </w:tcPr>
          <w:p w:rsidR="000F614D" w:rsidRPr="00B975A0" w:rsidRDefault="000F614D" w:rsidP="000F614D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Total P</w:t>
            </w: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H2SO4 to pH&lt;2; Cool to 4 degrees C</w:t>
            </w:r>
          </w:p>
        </w:tc>
        <w:tc>
          <w:tcPr>
            <w:tcW w:w="1542" w:type="dxa"/>
          </w:tcPr>
          <w:p w:rsidR="000F614D" w:rsidRPr="00B975A0" w:rsidRDefault="000F614D" w:rsidP="000F614D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28 days</w:t>
            </w: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Weekly composites.</w:t>
            </w: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  <w:r w:rsidRPr="00B975A0">
              <w:rPr>
                <w:sz w:val="20"/>
                <w:szCs w:val="20"/>
              </w:rPr>
              <w:t>Flow-proportional sampling; weekly composites. Refrigerated sampler used for preservation.</w:t>
            </w:r>
          </w:p>
        </w:tc>
      </w:tr>
      <w:tr w:rsidR="000F614D">
        <w:tc>
          <w:tcPr>
            <w:tcW w:w="1746" w:type="dxa"/>
          </w:tcPr>
          <w:p w:rsidR="000F614D" w:rsidRPr="00B975A0" w:rsidRDefault="008417AE" w:rsidP="001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 residence time</w:t>
            </w:r>
          </w:p>
        </w:tc>
        <w:tc>
          <w:tcPr>
            <w:tcW w:w="1294" w:type="dxa"/>
          </w:tcPr>
          <w:p w:rsidR="000F614D" w:rsidRPr="00B975A0" w:rsidRDefault="00A4731A" w:rsidP="001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2" w:type="dxa"/>
          </w:tcPr>
          <w:p w:rsidR="000F614D" w:rsidRPr="00B975A0" w:rsidRDefault="00A4731A" w:rsidP="001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68" w:type="dxa"/>
          </w:tcPr>
          <w:p w:rsidR="000F614D" w:rsidRPr="00B975A0" w:rsidRDefault="00A4731A" w:rsidP="001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plus 4 storms per year</w:t>
            </w: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  <w:tr w:rsidR="000F614D">
        <w:tc>
          <w:tcPr>
            <w:tcW w:w="1746" w:type="dxa"/>
          </w:tcPr>
          <w:p w:rsidR="000F614D" w:rsidRPr="00B975A0" w:rsidRDefault="000F614D" w:rsidP="008A638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  <w:tr w:rsidR="000F614D">
        <w:tc>
          <w:tcPr>
            <w:tcW w:w="174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  <w:tr w:rsidR="000F614D">
        <w:tc>
          <w:tcPr>
            <w:tcW w:w="174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  <w:tr w:rsidR="000F614D">
        <w:tc>
          <w:tcPr>
            <w:tcW w:w="174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  <w:tr w:rsidR="000F614D">
        <w:tc>
          <w:tcPr>
            <w:tcW w:w="174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</w:tcPr>
          <w:p w:rsidR="000F614D" w:rsidRPr="00B975A0" w:rsidRDefault="000F614D" w:rsidP="00123557">
            <w:pPr>
              <w:rPr>
                <w:sz w:val="20"/>
                <w:szCs w:val="20"/>
              </w:rPr>
            </w:pPr>
          </w:p>
        </w:tc>
      </w:tr>
    </w:tbl>
    <w:p w:rsidR="00425385" w:rsidRDefault="00425385" w:rsidP="00123557"/>
    <w:p w:rsidR="000176B0" w:rsidRPr="009942F7" w:rsidRDefault="000176B0" w:rsidP="001332DC">
      <w:r>
        <w:t xml:space="preserve">Sampling equipment </w:t>
      </w:r>
      <w:r w:rsidR="00425385">
        <w:t xml:space="preserve">should be described in 1 page or less.  In the case of automated sampling equipment, describe in detail </w:t>
      </w:r>
      <w:r w:rsidR="00425385" w:rsidRPr="009942F7">
        <w:t>how the equipment will be installed and programmed to capture samples.</w:t>
      </w:r>
    </w:p>
    <w:p w:rsidR="006D23F4" w:rsidRPr="009942F7" w:rsidRDefault="006D23F4" w:rsidP="001332DC"/>
    <w:p w:rsidR="00D2209A" w:rsidRDefault="009942F7" w:rsidP="00D2209A">
      <w:pPr>
        <w:pStyle w:val="NoSpacing"/>
        <w:rPr>
          <w:rFonts w:ascii="Times New Roman" w:hAnsi="Times New Roman"/>
          <w:szCs w:val="24"/>
        </w:rPr>
      </w:pPr>
      <w:r w:rsidRPr="00273E3D">
        <w:rPr>
          <w:rFonts w:ascii="Times New Roman" w:hAnsi="Times New Roman"/>
        </w:rPr>
        <w:t>Report minimum detectable change (MDC) analysis results for all primary monitoring variables</w:t>
      </w:r>
      <w:r w:rsidR="00485469" w:rsidRPr="00273E3D">
        <w:rPr>
          <w:rFonts w:ascii="Times New Roman" w:hAnsi="Times New Roman"/>
        </w:rPr>
        <w:t xml:space="preserve">. For additional details regarding MDC calculations, see Tech Note </w:t>
      </w:r>
      <w:r w:rsidR="00CE6C3F" w:rsidRPr="00273E3D">
        <w:rPr>
          <w:rFonts w:ascii="Times New Roman" w:hAnsi="Times New Roman"/>
        </w:rPr>
        <w:t xml:space="preserve">7 </w:t>
      </w:r>
      <w:r w:rsidR="00273E3D" w:rsidRPr="00273E3D">
        <w:rPr>
          <w:rFonts w:ascii="Times New Roman" w:hAnsi="Times New Roman"/>
        </w:rPr>
        <w:t xml:space="preserve">(Tetra Tech 2011) </w:t>
      </w:r>
      <w:r w:rsidR="00485469" w:rsidRPr="00273E3D">
        <w:rPr>
          <w:rFonts w:ascii="Times New Roman" w:hAnsi="Times New Roman"/>
        </w:rPr>
        <w:t xml:space="preserve">which can be found </w:t>
      </w:r>
      <w:hyperlink r:id="rId9" w:history="1">
        <w:r w:rsidR="00485469" w:rsidRPr="00273E3D">
          <w:rPr>
            <w:rStyle w:val="Hyperlink"/>
            <w:rFonts w:ascii="Times New Roman" w:hAnsi="Times New Roman"/>
            <w:b/>
            <w:i/>
          </w:rPr>
          <w:t>here</w:t>
        </w:r>
      </w:hyperlink>
      <w:r w:rsidRPr="00273E3D">
        <w:rPr>
          <w:rFonts w:ascii="Times New Roman" w:hAnsi="Times New Roman"/>
        </w:rPr>
        <w:t xml:space="preserve">.  </w:t>
      </w:r>
      <w:r w:rsidRPr="00273E3D">
        <w:rPr>
          <w:rFonts w:ascii="Times New Roman" w:hAnsi="Times New Roman"/>
          <w:szCs w:val="24"/>
        </w:rPr>
        <w:t xml:space="preserve">The calculation MDC or the water quality concentration change required to detect significant trends requires several steps. </w:t>
      </w:r>
      <w:r w:rsidR="00D2209A" w:rsidRPr="00273E3D">
        <w:rPr>
          <w:rFonts w:ascii="Times New Roman" w:hAnsi="Times New Roman"/>
          <w:szCs w:val="24"/>
        </w:rPr>
        <w:t>The procedure varies slightly based upon a number of factors</w:t>
      </w:r>
      <w:r w:rsidR="00D2209A">
        <w:rPr>
          <w:rFonts w:ascii="Times New Roman" w:hAnsi="Times New Roman"/>
          <w:szCs w:val="24"/>
        </w:rPr>
        <w:t>:</w:t>
      </w:r>
    </w:p>
    <w:p w:rsidR="00D2209A" w:rsidRPr="005A750A" w:rsidRDefault="00D2209A" w:rsidP="00D2209A">
      <w:pPr>
        <w:pStyle w:val="NoSpacing"/>
        <w:rPr>
          <w:rFonts w:ascii="Times New Roman" w:hAnsi="Times New Roman"/>
          <w:szCs w:val="24"/>
        </w:rPr>
      </w:pPr>
    </w:p>
    <w:p w:rsidR="00D2209A" w:rsidRPr="005A750A" w:rsidRDefault="00D2209A" w:rsidP="00D2209A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5A750A">
        <w:rPr>
          <w:rFonts w:ascii="Times New Roman" w:hAnsi="Times New Roman"/>
          <w:szCs w:val="24"/>
        </w:rPr>
        <w:t xml:space="preserve">hether the data used </w:t>
      </w:r>
      <w:r>
        <w:rPr>
          <w:rFonts w:ascii="Times New Roman" w:hAnsi="Times New Roman"/>
          <w:szCs w:val="24"/>
        </w:rPr>
        <w:t>are in</w:t>
      </w:r>
      <w:r w:rsidRPr="005A750A">
        <w:rPr>
          <w:rFonts w:ascii="Times New Roman" w:hAnsi="Times New Roman"/>
          <w:szCs w:val="24"/>
        </w:rPr>
        <w:t xml:space="preserve"> the original scale (e.g.,</w:t>
      </w:r>
      <w:r>
        <w:rPr>
          <w:rFonts w:ascii="Times New Roman" w:hAnsi="Times New Roman"/>
          <w:szCs w:val="24"/>
        </w:rPr>
        <w:t xml:space="preserve"> mg/l or kg) or log transformed.</w:t>
      </w:r>
    </w:p>
    <w:p w:rsidR="00D2209A" w:rsidRDefault="00D2209A" w:rsidP="00D2209A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</w:t>
      </w:r>
      <w:r w:rsidRPr="005A750A">
        <w:rPr>
          <w:rFonts w:ascii="Times New Roman" w:hAnsi="Times New Roman"/>
          <w:szCs w:val="24"/>
        </w:rPr>
        <w:t>ddition of explanatory variables such as streamflow or season</w:t>
      </w:r>
      <w:r>
        <w:rPr>
          <w:rFonts w:ascii="Times New Roman" w:hAnsi="Times New Roman"/>
          <w:szCs w:val="24"/>
        </w:rPr>
        <w:t>.</w:t>
      </w:r>
      <w:r w:rsidRPr="00153FA4">
        <w:rPr>
          <w:rFonts w:ascii="Times New Roman" w:hAnsi="Times New Roman"/>
          <w:szCs w:val="24"/>
        </w:rPr>
        <w:t xml:space="preserve"> </w:t>
      </w:r>
    </w:p>
    <w:p w:rsidR="00D2209A" w:rsidRPr="00153FA4" w:rsidRDefault="00D2209A" w:rsidP="00D2209A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A750A">
        <w:rPr>
          <w:rFonts w:ascii="Times New Roman" w:hAnsi="Times New Roman"/>
          <w:szCs w:val="24"/>
        </w:rPr>
        <w:t>ncorporation of time series to</w:t>
      </w:r>
      <w:r>
        <w:rPr>
          <w:rFonts w:ascii="Times New Roman" w:hAnsi="Times New Roman"/>
          <w:szCs w:val="24"/>
        </w:rPr>
        <w:t xml:space="preserve"> adjust for autocorrelation (See Tech Note 7).</w:t>
      </w:r>
    </w:p>
    <w:p w:rsidR="00D2209A" w:rsidRDefault="00D2209A" w:rsidP="00D2209A">
      <w:pPr>
        <w:pStyle w:val="NoSpacing"/>
        <w:rPr>
          <w:rFonts w:ascii="Times New Roman" w:hAnsi="Times New Roman"/>
          <w:szCs w:val="24"/>
        </w:rPr>
      </w:pPr>
    </w:p>
    <w:p w:rsidR="009942F7" w:rsidRDefault="00D2209A" w:rsidP="00D2209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273E3D">
        <w:rPr>
          <w:rFonts w:ascii="Times New Roman" w:hAnsi="Times New Roman"/>
          <w:szCs w:val="24"/>
        </w:rPr>
        <w:t>or Tier 2 projects it is assumed that step trend is the appropriate statistical model and the information presented below is tailored to that situation</w:t>
      </w:r>
      <w:r>
        <w:rPr>
          <w:rFonts w:ascii="Times New Roman" w:hAnsi="Times New Roman"/>
          <w:szCs w:val="24"/>
        </w:rPr>
        <w:t xml:space="preserve">. </w:t>
      </w:r>
      <w:r w:rsidRPr="005A750A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following </w:t>
      </w:r>
      <w:r w:rsidRPr="005A750A">
        <w:rPr>
          <w:rFonts w:ascii="Times New Roman" w:hAnsi="Times New Roman"/>
          <w:szCs w:val="24"/>
        </w:rPr>
        <w:t>steps are adopted from Spooner et al</w:t>
      </w:r>
      <w:r>
        <w:rPr>
          <w:rFonts w:ascii="Times New Roman" w:hAnsi="Times New Roman"/>
          <w:szCs w:val="24"/>
        </w:rPr>
        <w:t>. (1987 and 1988):</w:t>
      </w: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  <w:proofErr w:type="gramStart"/>
      <w:r w:rsidRPr="00B535BC">
        <w:rPr>
          <w:rFonts w:ascii="Times New Roman" w:hAnsi="Times New Roman"/>
          <w:b/>
          <w:bCs/>
          <w:i/>
          <w:iCs/>
          <w:szCs w:val="24"/>
        </w:rPr>
        <w:t>Step 1.</w:t>
      </w:r>
      <w:proofErr w:type="gramEnd"/>
      <w:r w:rsidRPr="00B535BC">
        <w:rPr>
          <w:rFonts w:ascii="Times New Roman" w:hAnsi="Times New Roman"/>
          <w:b/>
          <w:bCs/>
          <w:i/>
          <w:iCs/>
          <w:szCs w:val="24"/>
        </w:rPr>
        <w:t xml:space="preserve"> Define the Monitoring Goal and Choose the Appropriate Statistical Trend Test Approach.</w:t>
      </w:r>
      <w:r w:rsidRPr="00B535BC">
        <w:rPr>
          <w:rFonts w:ascii="Times New Roman" w:hAnsi="Times New Roman"/>
          <w:b/>
          <w:szCs w:val="24"/>
        </w:rPr>
        <w:t xml:space="preserve"> </w:t>
      </w:r>
      <w:r w:rsidR="00485469" w:rsidRPr="00B535BC">
        <w:rPr>
          <w:rFonts w:ascii="Times New Roman" w:hAnsi="Times New Roman"/>
          <w:szCs w:val="24"/>
        </w:rPr>
        <w:t>An appropriate goal for Tier 2 projects would be</w:t>
      </w:r>
      <w:r w:rsidRPr="00B535BC">
        <w:rPr>
          <w:rFonts w:ascii="Times New Roman" w:hAnsi="Times New Roman"/>
          <w:szCs w:val="24"/>
        </w:rPr>
        <w:t xml:space="preserve"> to detect a statistically significant change in the post-BMP period as compared to a pre-BMP period</w:t>
      </w:r>
      <w:r w:rsidR="00485469" w:rsidRPr="00B535BC">
        <w:rPr>
          <w:rFonts w:ascii="Times New Roman" w:hAnsi="Times New Roman"/>
          <w:szCs w:val="24"/>
        </w:rPr>
        <w:t>. This</w:t>
      </w:r>
      <w:r w:rsidRPr="00B535BC">
        <w:rPr>
          <w:rFonts w:ascii="Times New Roman" w:hAnsi="Times New Roman"/>
          <w:szCs w:val="24"/>
        </w:rPr>
        <w:t xml:space="preserve"> would require a step change statistical test such as the </w:t>
      </w:r>
      <w:r w:rsidR="00A24300" w:rsidRPr="00B535BC">
        <w:rPr>
          <w:rFonts w:ascii="Times New Roman" w:hAnsi="Times New Roman"/>
          <w:szCs w:val="24"/>
        </w:rPr>
        <w:t xml:space="preserve">Student’s </w:t>
      </w:r>
      <w:r w:rsidRPr="00B535BC">
        <w:rPr>
          <w:rFonts w:ascii="Times New Roman" w:hAnsi="Times New Roman"/>
          <w:szCs w:val="24"/>
        </w:rPr>
        <w:t xml:space="preserve">t-test </w:t>
      </w:r>
      <w:r w:rsidR="00A24300" w:rsidRPr="00B535BC">
        <w:rPr>
          <w:rFonts w:ascii="Times New Roman" w:hAnsi="Times New Roman"/>
          <w:szCs w:val="24"/>
        </w:rPr>
        <w:t xml:space="preserve">(t-test) </w:t>
      </w:r>
      <w:r w:rsidRPr="00B535BC">
        <w:rPr>
          <w:rFonts w:ascii="Times New Roman" w:hAnsi="Times New Roman"/>
          <w:szCs w:val="24"/>
        </w:rPr>
        <w:t xml:space="preserve">or </w:t>
      </w:r>
      <w:r w:rsidR="00A24300" w:rsidRPr="00B535BC">
        <w:rPr>
          <w:rFonts w:ascii="Times New Roman" w:hAnsi="Times New Roman"/>
          <w:szCs w:val="24"/>
        </w:rPr>
        <w:t>analysis of covariance (</w:t>
      </w:r>
      <w:r w:rsidRPr="00B535BC">
        <w:rPr>
          <w:rFonts w:ascii="Times New Roman" w:hAnsi="Times New Roman"/>
          <w:szCs w:val="24"/>
        </w:rPr>
        <w:t>ANCOVA</w:t>
      </w:r>
      <w:r w:rsidR="00A24300" w:rsidRPr="00B535BC">
        <w:rPr>
          <w:rFonts w:ascii="Times New Roman" w:hAnsi="Times New Roman"/>
          <w:szCs w:val="24"/>
        </w:rPr>
        <w:t xml:space="preserve">). </w:t>
      </w: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  <w:proofErr w:type="gramStart"/>
      <w:r w:rsidRPr="00B535BC">
        <w:rPr>
          <w:rFonts w:ascii="Times New Roman" w:hAnsi="Times New Roman"/>
          <w:b/>
          <w:bCs/>
          <w:i/>
          <w:iCs/>
          <w:szCs w:val="24"/>
        </w:rPr>
        <w:t>Step 2.</w:t>
      </w:r>
      <w:proofErr w:type="gramEnd"/>
      <w:r w:rsidRPr="00B535BC">
        <w:rPr>
          <w:rFonts w:ascii="Times New Roman" w:hAnsi="Times New Roman"/>
          <w:b/>
          <w:bCs/>
          <w:i/>
          <w:iCs/>
          <w:szCs w:val="24"/>
        </w:rPr>
        <w:t xml:space="preserve"> Perform Exploratory Data Analyses.</w:t>
      </w:r>
      <w:r w:rsidRPr="00B535BC">
        <w:rPr>
          <w:rFonts w:ascii="Times New Roman" w:hAnsi="Times New Roman"/>
          <w:szCs w:val="24"/>
        </w:rPr>
        <w:t xml:space="preserve"> Preliminary data inspections are performed to determine if the residuals are distributed with a normal distribution</w:t>
      </w:r>
      <w:r w:rsidR="000046DF" w:rsidRPr="00B535BC">
        <w:rPr>
          <w:rFonts w:ascii="Times New Roman" w:hAnsi="Times New Roman"/>
          <w:szCs w:val="24"/>
        </w:rPr>
        <w:t xml:space="preserve">, </w:t>
      </w:r>
      <w:r w:rsidRPr="00B535BC">
        <w:rPr>
          <w:rFonts w:ascii="Times New Roman" w:hAnsi="Times New Roman"/>
          <w:szCs w:val="24"/>
        </w:rPr>
        <w:t>constant variance</w:t>
      </w:r>
      <w:r w:rsidR="000046DF" w:rsidRPr="00B535BC">
        <w:rPr>
          <w:rFonts w:ascii="Times New Roman" w:hAnsi="Times New Roman"/>
          <w:szCs w:val="24"/>
        </w:rPr>
        <w:t xml:space="preserve">, and </w:t>
      </w:r>
      <w:r w:rsidR="00153FA4" w:rsidRPr="00B535BC">
        <w:rPr>
          <w:rFonts w:ascii="Times New Roman" w:hAnsi="Times New Roman"/>
          <w:szCs w:val="24"/>
        </w:rPr>
        <w:t>independence</w:t>
      </w:r>
      <w:r w:rsidRPr="00B535BC">
        <w:rPr>
          <w:rFonts w:ascii="Times New Roman" w:hAnsi="Times New Roman"/>
          <w:szCs w:val="24"/>
        </w:rPr>
        <w:t xml:space="preserve">. Normal distribution is required in the parametric analyses; constant variance </w:t>
      </w:r>
      <w:r w:rsidR="000046DF" w:rsidRPr="00B535BC">
        <w:rPr>
          <w:rFonts w:ascii="Times New Roman" w:hAnsi="Times New Roman"/>
          <w:szCs w:val="24"/>
        </w:rPr>
        <w:t>and independence</w:t>
      </w:r>
      <w:r w:rsidR="00273E3D" w:rsidRPr="00B535BC">
        <w:rPr>
          <w:rFonts w:ascii="Times New Roman" w:hAnsi="Times New Roman"/>
          <w:szCs w:val="24"/>
        </w:rPr>
        <w:t xml:space="preserve"> are required</w:t>
      </w:r>
      <w:r w:rsidR="000046DF" w:rsidRPr="00B535BC">
        <w:rPr>
          <w:rFonts w:ascii="Times New Roman" w:hAnsi="Times New Roman"/>
          <w:szCs w:val="24"/>
        </w:rPr>
        <w:t xml:space="preserve"> </w:t>
      </w:r>
      <w:r w:rsidRPr="00B535BC">
        <w:rPr>
          <w:rFonts w:ascii="Times New Roman" w:hAnsi="Times New Roman"/>
          <w:szCs w:val="24"/>
        </w:rPr>
        <w:t xml:space="preserve">in both parametric and nonparametric analyses. The water quality monitoring data are usually not normal, however, and often do not exhibit constant variance over the data range. </w:t>
      </w:r>
      <w:r w:rsidR="000046DF" w:rsidRPr="00B535BC">
        <w:rPr>
          <w:rFonts w:ascii="Times New Roman" w:hAnsi="Times New Roman"/>
          <w:szCs w:val="24"/>
        </w:rPr>
        <w:t>Tests for autocorrelation are performed to test for independence (e.g., Durbin Watson test).</w:t>
      </w: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  <w:proofErr w:type="gramStart"/>
      <w:r w:rsidRPr="00B535BC">
        <w:rPr>
          <w:rFonts w:ascii="Times New Roman" w:hAnsi="Times New Roman"/>
          <w:b/>
          <w:bCs/>
          <w:i/>
          <w:iCs/>
          <w:szCs w:val="24"/>
        </w:rPr>
        <w:t>Step 3.</w:t>
      </w:r>
      <w:proofErr w:type="gramEnd"/>
      <w:r w:rsidRPr="00B535BC">
        <w:rPr>
          <w:rFonts w:ascii="Times New Roman" w:hAnsi="Times New Roman"/>
          <w:b/>
          <w:bCs/>
          <w:i/>
          <w:iCs/>
          <w:szCs w:val="24"/>
        </w:rPr>
        <w:t xml:space="preserve"> Perform Data Transformations. </w:t>
      </w:r>
      <w:r w:rsidRPr="00B535BC">
        <w:rPr>
          <w:rFonts w:ascii="Times New Roman" w:hAnsi="Times New Roman"/>
          <w:szCs w:val="24"/>
        </w:rPr>
        <w:t xml:space="preserve">Water quality data typically follow log-normal distributions and the base 10 logarithmic transformation is </w:t>
      </w:r>
      <w:r w:rsidR="000046DF" w:rsidRPr="00B535BC">
        <w:rPr>
          <w:rFonts w:ascii="Times New Roman" w:hAnsi="Times New Roman"/>
          <w:szCs w:val="24"/>
        </w:rPr>
        <w:t xml:space="preserve">typically </w:t>
      </w:r>
      <w:r w:rsidRPr="00B535BC">
        <w:rPr>
          <w:rFonts w:ascii="Times New Roman" w:hAnsi="Times New Roman"/>
          <w:szCs w:val="24"/>
        </w:rPr>
        <w:t>used to minimize the violation of the assumptions of normality and constant variance. In this case, the MDC calculations use the log-transformed data until the last step of expressing the percent change. The natural log transformation may alternatively be used.</w:t>
      </w:r>
    </w:p>
    <w:p w:rsidR="009942F7" w:rsidRPr="00B535BC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B535BC" w:rsidRDefault="009942F7" w:rsidP="008A2187">
      <w:pPr>
        <w:pStyle w:val="BodyText31"/>
        <w:spacing w:line="288" w:lineRule="atLeast"/>
        <w:ind w:left="0" w:right="749"/>
        <w:rPr>
          <w:sz w:val="24"/>
          <w:szCs w:val="24"/>
        </w:rPr>
      </w:pPr>
      <w:proofErr w:type="gramStart"/>
      <w:r w:rsidRPr="00B535BC">
        <w:rPr>
          <w:b/>
          <w:i/>
          <w:iCs/>
          <w:color w:val="auto"/>
          <w:sz w:val="24"/>
          <w:szCs w:val="24"/>
        </w:rPr>
        <w:t>Step</w:t>
      </w:r>
      <w:r w:rsidR="001F4346">
        <w:rPr>
          <w:b/>
          <w:i/>
          <w:iCs/>
          <w:color w:val="auto"/>
          <w:sz w:val="24"/>
          <w:szCs w:val="24"/>
        </w:rPr>
        <w:t xml:space="preserve"> 4</w:t>
      </w:r>
      <w:r w:rsidRPr="00B535BC">
        <w:rPr>
          <w:b/>
          <w:i/>
          <w:iCs/>
          <w:color w:val="auto"/>
          <w:sz w:val="24"/>
          <w:szCs w:val="24"/>
        </w:rPr>
        <w:t>.</w:t>
      </w:r>
      <w:proofErr w:type="gramEnd"/>
      <w:r w:rsidRPr="00B535BC">
        <w:rPr>
          <w:b/>
          <w:i/>
          <w:iCs/>
          <w:color w:val="auto"/>
          <w:sz w:val="24"/>
          <w:szCs w:val="24"/>
        </w:rPr>
        <w:t xml:space="preserve"> Calculate the MDC.</w:t>
      </w:r>
      <w:r w:rsidRPr="00B535BC">
        <w:rPr>
          <w:b/>
          <w:sz w:val="24"/>
          <w:szCs w:val="24"/>
        </w:rPr>
        <w:t xml:space="preserve"> </w:t>
      </w:r>
      <w:r w:rsidRPr="00B535BC">
        <w:rPr>
          <w:sz w:val="24"/>
          <w:szCs w:val="24"/>
        </w:rPr>
        <w:t xml:space="preserve">For a </w:t>
      </w:r>
      <w:r w:rsidRPr="00B535BC">
        <w:rPr>
          <w:b/>
          <w:sz w:val="24"/>
          <w:szCs w:val="24"/>
        </w:rPr>
        <w:t>step trend</w:t>
      </w:r>
      <w:r w:rsidRPr="00B535BC">
        <w:rPr>
          <w:sz w:val="24"/>
          <w:szCs w:val="24"/>
        </w:rPr>
        <w:t xml:space="preserve">, the MDC is one-half of the confidence interval for detecting a change between the mean values in the pre- vs. post- BMP periods. </w:t>
      </w: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Default="009A4C44" w:rsidP="007629BF">
      <w:pPr>
        <w:pStyle w:val="BodyText21"/>
        <w:spacing w:line="460" w:lineRule="auto"/>
        <w:ind w:right="748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 xml:space="preserve">MDC= </m:t>
              </m:r>
              <m:r>
                <w:rPr>
                  <w:rFonts w:ascii="Cambria Math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post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Calibri" w:hAnsi="Cambria Math" w:cs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s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pre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post</m:t>
                      </m:r>
                    </m:sub>
                  </m:sSub>
                </m:e>
              </m:d>
            </m:sub>
          </m:sSub>
        </m:oMath>
      </m:oMathPara>
    </w:p>
    <w:p w:rsidR="007629BF" w:rsidRDefault="001F4346">
      <w:r>
        <w:t>The above equation requires an estimate of the standard error of the difference between the mean values of these two periods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pre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post</m:t>
                    </m:r>
                  </m:sub>
                </m:sSub>
              </m:e>
            </m:d>
          </m:sub>
        </m:sSub>
        <m:r>
          <w:rPr>
            <w:rFonts w:ascii="Cambria Math" w:hAnsi="Cambria Math"/>
          </w:rPr>
          <m:t>)</m:t>
        </m:r>
      </m:oMath>
      <w:r>
        <w:t xml:space="preserve">, a topic discussed in greater detail in Tech Note 7 (Tetra Tech 2011). </w:t>
      </w:r>
      <w:r w:rsidR="007629BF">
        <w:t>In practice, an equivalent estimate is obtained using the following formula:</w:t>
      </w:r>
    </w:p>
    <w:p w:rsidR="008A2187" w:rsidRPr="005A750A" w:rsidRDefault="008A2187" w:rsidP="009942F7">
      <w:pPr>
        <w:pStyle w:val="NoSpacing"/>
        <w:rPr>
          <w:rFonts w:ascii="Times New Roman" w:hAnsi="Times New Roman"/>
          <w:szCs w:val="24"/>
        </w:rPr>
      </w:pPr>
    </w:p>
    <w:p w:rsidR="0016076F" w:rsidRPr="007629BF" w:rsidRDefault="009A4C44" w:rsidP="009942F7">
      <w:pPr>
        <w:pStyle w:val="BodyText2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460" w:lineRule="auto"/>
        <w:ind w:right="748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 xml:space="preserve">MDC= </m:t>
              </m:r>
              <m:r>
                <w:rPr>
                  <w:rFonts w:ascii="Cambria Math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post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d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MSE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p</m:t>
                      </m:r>
                      <m:r>
                        <w:rPr>
                          <w:rFonts w:ascii="Cambria Math"/>
                        </w:rPr>
                        <m:t>re</m:t>
                      </m:r>
                    </m:sub>
                  </m:sSub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MSE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post</m:t>
                      </m:r>
                    </m:sub>
                  </m:sSub>
                </m:den>
              </m:f>
            </m:e>
          </m:rad>
        </m:oMath>
      </m:oMathPara>
    </w:p>
    <w:p w:rsidR="009942F7" w:rsidRPr="005A750A" w:rsidRDefault="009942F7" w:rsidP="009942F7">
      <w:pPr>
        <w:pStyle w:val="NoSpacing"/>
        <w:rPr>
          <w:rFonts w:ascii="Times New Roman" w:hAnsi="Times New Roman"/>
          <w:szCs w:val="24"/>
        </w:rPr>
      </w:pPr>
      <w:r w:rsidRPr="005A750A">
        <w:rPr>
          <w:rFonts w:ascii="Times New Roman" w:hAnsi="Times New Roman"/>
          <w:szCs w:val="24"/>
        </w:rPr>
        <w:t xml:space="preserve">Where: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post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</m:d>
          </m:sub>
        </m:sSub>
      </m:oMath>
      <w:r w:rsidRPr="005A750A">
        <w:rPr>
          <w:rFonts w:ascii="Times New Roman" w:hAnsi="Times New Roman"/>
          <w:szCs w:val="24"/>
        </w:rPr>
        <w:t xml:space="preserve"> = one-sided </w:t>
      </w:r>
      <w:r>
        <w:rPr>
          <w:rFonts w:ascii="Times New Roman" w:hAnsi="Times New Roman"/>
          <w:szCs w:val="24"/>
        </w:rPr>
        <w:t>S</w:t>
      </w:r>
      <w:r w:rsidRPr="005A750A">
        <w:rPr>
          <w:rFonts w:ascii="Times New Roman" w:hAnsi="Times New Roman"/>
          <w:szCs w:val="24"/>
        </w:rPr>
        <w:t>tudent</w:t>
      </w:r>
      <w:r>
        <w:rPr>
          <w:rFonts w:ascii="Times New Roman" w:hAnsi="Times New Roman"/>
          <w:szCs w:val="24"/>
        </w:rPr>
        <w:t>’</w:t>
      </w:r>
      <w:r w:rsidRPr="005A750A">
        <w:rPr>
          <w:rFonts w:ascii="Times New Roman" w:hAnsi="Times New Roman"/>
          <w:szCs w:val="24"/>
        </w:rPr>
        <w:t>s t-value with (</w:t>
      </w:r>
      <w:proofErr w:type="spellStart"/>
      <w:r w:rsidRPr="005A750A">
        <w:rPr>
          <w:rFonts w:ascii="Times New Roman" w:hAnsi="Times New Roman"/>
          <w:szCs w:val="24"/>
        </w:rPr>
        <w:t>n</w:t>
      </w:r>
      <w:r w:rsidRPr="005A750A">
        <w:rPr>
          <w:rFonts w:ascii="Times New Roman" w:hAnsi="Times New Roman"/>
          <w:i/>
          <w:szCs w:val="24"/>
          <w:vertAlign w:val="subscript"/>
        </w:rPr>
        <w:t>pre</w:t>
      </w:r>
      <w:proofErr w:type="spellEnd"/>
      <w:r w:rsidRPr="005A750A">
        <w:rPr>
          <w:rFonts w:ascii="Times New Roman" w:hAnsi="Times New Roman"/>
          <w:szCs w:val="24"/>
        </w:rPr>
        <w:t xml:space="preserve"> + </w:t>
      </w:r>
      <w:proofErr w:type="spellStart"/>
      <w:r w:rsidRPr="005A750A">
        <w:rPr>
          <w:rFonts w:ascii="Times New Roman" w:hAnsi="Times New Roman"/>
          <w:szCs w:val="24"/>
        </w:rPr>
        <w:t>n</w:t>
      </w:r>
      <w:r w:rsidRPr="005A750A">
        <w:rPr>
          <w:rFonts w:ascii="Times New Roman" w:hAnsi="Times New Roman"/>
          <w:i/>
          <w:szCs w:val="24"/>
          <w:vertAlign w:val="subscript"/>
        </w:rPr>
        <w:t>post</w:t>
      </w:r>
      <w:proofErr w:type="spellEnd"/>
      <w:r w:rsidRPr="005A750A">
        <w:rPr>
          <w:rFonts w:ascii="Times New Roman" w:hAnsi="Times New Roman"/>
          <w:i/>
          <w:szCs w:val="24"/>
          <w:vertAlign w:val="subscript"/>
        </w:rPr>
        <w:t xml:space="preserve"> </w:t>
      </w:r>
      <w:r w:rsidRPr="005A750A">
        <w:rPr>
          <w:rFonts w:ascii="Times New Roman" w:hAnsi="Times New Roman"/>
          <w:szCs w:val="24"/>
        </w:rPr>
        <w:t>-2) degrees of freedom.</w:t>
      </w:r>
    </w:p>
    <w:p w:rsidR="009942F7" w:rsidRPr="005A750A" w:rsidRDefault="009942F7" w:rsidP="009942F7">
      <w:pPr>
        <w:pStyle w:val="NoSpacing"/>
        <w:rPr>
          <w:rFonts w:ascii="Times New Roman" w:hAnsi="Times New Roman"/>
          <w:szCs w:val="24"/>
        </w:rPr>
      </w:pPr>
      <w:r w:rsidRPr="005A75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A750A">
        <w:rPr>
          <w:rFonts w:ascii="Times New Roman" w:hAnsi="Times New Roman"/>
          <w:szCs w:val="24"/>
        </w:rPr>
        <w:t>n</w:t>
      </w:r>
      <w:r w:rsidRPr="005A750A">
        <w:rPr>
          <w:rFonts w:ascii="Times New Roman" w:hAnsi="Times New Roman"/>
          <w:i/>
          <w:szCs w:val="24"/>
          <w:vertAlign w:val="subscript"/>
        </w:rPr>
        <w:t>pre</w:t>
      </w:r>
      <w:proofErr w:type="spellEnd"/>
      <w:proofErr w:type="gramEnd"/>
      <w:r w:rsidRPr="005A750A">
        <w:rPr>
          <w:rFonts w:ascii="Times New Roman" w:hAnsi="Times New Roman"/>
          <w:szCs w:val="24"/>
        </w:rPr>
        <w:t xml:space="preserve"> + </w:t>
      </w:r>
      <w:proofErr w:type="spellStart"/>
      <w:r w:rsidRPr="005A750A">
        <w:rPr>
          <w:rFonts w:ascii="Times New Roman" w:hAnsi="Times New Roman"/>
          <w:szCs w:val="24"/>
        </w:rPr>
        <w:t>n</w:t>
      </w:r>
      <w:r w:rsidRPr="005A750A">
        <w:rPr>
          <w:rFonts w:ascii="Times New Roman" w:hAnsi="Times New Roman"/>
          <w:i/>
          <w:szCs w:val="24"/>
          <w:vertAlign w:val="subscript"/>
        </w:rPr>
        <w:t>post</w:t>
      </w:r>
      <w:proofErr w:type="spellEnd"/>
      <w:r w:rsidRPr="005A750A">
        <w:rPr>
          <w:rFonts w:ascii="Times New Roman" w:hAnsi="Times New Roman"/>
          <w:szCs w:val="24"/>
        </w:rPr>
        <w:t xml:space="preserve"> </w:t>
      </w:r>
      <w:r w:rsidRPr="005A750A">
        <w:rPr>
          <w:rFonts w:ascii="Times New Roman" w:hAnsi="Times New Roman"/>
          <w:szCs w:val="24"/>
        </w:rPr>
        <w:tab/>
        <w:t xml:space="preserve">= the </w:t>
      </w:r>
      <w:r>
        <w:rPr>
          <w:rFonts w:ascii="Times New Roman" w:hAnsi="Times New Roman"/>
          <w:szCs w:val="24"/>
        </w:rPr>
        <w:t xml:space="preserve">combined </w:t>
      </w:r>
      <w:r w:rsidRPr="005A750A">
        <w:rPr>
          <w:rFonts w:ascii="Times New Roman" w:hAnsi="Times New Roman"/>
          <w:szCs w:val="24"/>
        </w:rPr>
        <w:t>number o</w:t>
      </w:r>
      <w:r>
        <w:rPr>
          <w:rFonts w:ascii="Times New Roman" w:hAnsi="Times New Roman"/>
          <w:szCs w:val="24"/>
        </w:rPr>
        <w:t>f samples in the pre- and post-</w:t>
      </w:r>
      <w:r w:rsidRPr="005A750A">
        <w:rPr>
          <w:rFonts w:ascii="Times New Roman" w:hAnsi="Times New Roman"/>
          <w:szCs w:val="24"/>
        </w:rPr>
        <w:t xml:space="preserve">BMP periods </w:t>
      </w:r>
    </w:p>
    <w:p w:rsidR="009942F7" w:rsidRPr="005A750A" w:rsidRDefault="009942F7" w:rsidP="009942F7">
      <w:pPr>
        <w:pStyle w:val="NoSpacing"/>
        <w:ind w:left="720" w:hanging="720"/>
        <w:rPr>
          <w:rFonts w:ascii="Times New Roman" w:hAnsi="Times New Roman"/>
          <w:szCs w:val="24"/>
        </w:rPr>
      </w:pPr>
      <w:r w:rsidRPr="005A750A">
        <w:rPr>
          <w:rFonts w:ascii="Times New Roman" w:hAnsi="Times New Roman"/>
          <w:szCs w:val="24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s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pre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post</m:t>
                    </m:r>
                  </m:sub>
                </m:sSub>
              </m:e>
            </m:d>
          </m:sub>
        </m:sSub>
      </m:oMath>
      <w:r w:rsidRPr="005A750A">
        <w:rPr>
          <w:rFonts w:ascii="Times New Roman" w:hAnsi="Times New Roman"/>
          <w:szCs w:val="24"/>
        </w:rPr>
        <w:tab/>
        <w:t>= estimated standard error of the difference between the mean values in the Pre- and the Post- BMP periods.</w:t>
      </w:r>
    </w:p>
    <w:p w:rsidR="009942F7" w:rsidRPr="005A750A" w:rsidRDefault="009942F7" w:rsidP="009942F7">
      <w:pPr>
        <w:pStyle w:val="NoSpacing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750A">
        <w:rPr>
          <w:rFonts w:ascii="Times New Roman" w:hAnsi="Times New Roman"/>
          <w:szCs w:val="24"/>
        </w:rPr>
        <w:t>MSE</w:t>
      </w:r>
      <w:r>
        <w:rPr>
          <w:rFonts w:ascii="Times New Roman" w:hAnsi="Times New Roman"/>
          <w:szCs w:val="24"/>
        </w:rPr>
        <w:t xml:space="preserve"> or s</w:t>
      </w:r>
      <w:r w:rsidRPr="006E3F26">
        <w:rPr>
          <w:rFonts w:ascii="Times New Roman" w:hAnsi="Times New Roman"/>
          <w:szCs w:val="24"/>
          <w:vertAlign w:val="subscript"/>
        </w:rPr>
        <w:t>p</w:t>
      </w:r>
      <w:r w:rsidRPr="006E3F26">
        <w:rPr>
          <w:rFonts w:ascii="Times New Roman" w:hAnsi="Times New Roman"/>
          <w:szCs w:val="24"/>
          <w:vertAlign w:val="superscript"/>
        </w:rPr>
        <w:t>2</w:t>
      </w:r>
      <w:r w:rsidRPr="005A750A">
        <w:rPr>
          <w:rFonts w:ascii="Times New Roman" w:hAnsi="Times New Roman"/>
          <w:szCs w:val="24"/>
        </w:rPr>
        <w:tab/>
        <w:t>= Estimate of the pooled Mean Square Error (MSE) or</w:t>
      </w:r>
      <w:r>
        <w:rPr>
          <w:rFonts w:ascii="Times New Roman" w:hAnsi="Times New Roman"/>
          <w:szCs w:val="24"/>
        </w:rPr>
        <w:t>, equivalently,</w:t>
      </w:r>
      <w:r w:rsidRPr="005A750A">
        <w:rPr>
          <w:rFonts w:ascii="Times New Roman" w:hAnsi="Times New Roman"/>
          <w:szCs w:val="24"/>
        </w:rPr>
        <w:t xml:space="preserve"> variance </w:t>
      </w:r>
      <w:r>
        <w:rPr>
          <w:rFonts w:ascii="Times New Roman" w:hAnsi="Times New Roman"/>
          <w:szCs w:val="24"/>
        </w:rPr>
        <w:t>(</w:t>
      </w:r>
      <w:r w:rsidRPr="002B7A07">
        <w:rPr>
          <w:rFonts w:ascii="Times New Roman" w:hAnsi="Times New Roman"/>
          <w:szCs w:val="24"/>
        </w:rPr>
        <w:t>s</w:t>
      </w:r>
      <w:r w:rsidRPr="00BB51B7">
        <w:rPr>
          <w:rFonts w:ascii="Times New Roman" w:hAnsi="Times New Roman"/>
          <w:szCs w:val="24"/>
          <w:vertAlign w:val="subscript"/>
        </w:rPr>
        <w:t>p</w:t>
      </w:r>
      <w:r w:rsidRPr="00BB51B7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) </w:t>
      </w:r>
      <w:r w:rsidRPr="002B7A07">
        <w:rPr>
          <w:rFonts w:ascii="Times New Roman" w:hAnsi="Times New Roman"/>
          <w:szCs w:val="24"/>
        </w:rPr>
        <w:t>within</w:t>
      </w:r>
      <w:r w:rsidRPr="005A750A">
        <w:rPr>
          <w:rFonts w:ascii="Times New Roman" w:hAnsi="Times New Roman"/>
          <w:szCs w:val="24"/>
        </w:rPr>
        <w:t xml:space="preserve"> each period</w:t>
      </w:r>
      <w:r>
        <w:rPr>
          <w:rFonts w:ascii="Times New Roman" w:hAnsi="Times New Roman"/>
          <w:szCs w:val="24"/>
        </w:rPr>
        <w:t xml:space="preserve">. The variance (square of the standard deviation) of pre-BMP data can be used to estimate MSE or </w:t>
      </w:r>
      <w:r w:rsidR="007629BF">
        <w:rPr>
          <w:rFonts w:ascii="Times New Roman" w:hAnsi="Times New Roman"/>
          <w:szCs w:val="24"/>
        </w:rPr>
        <w:t>s</w:t>
      </w:r>
      <w:r w:rsidR="007629BF">
        <w:rPr>
          <w:rFonts w:ascii="Times New Roman" w:hAnsi="Times New Roman"/>
          <w:szCs w:val="24"/>
          <w:vertAlign w:val="subscript"/>
        </w:rPr>
        <w:t>p</w:t>
      </w:r>
      <w:r w:rsidR="007629BF">
        <w:rPr>
          <w:rFonts w:ascii="Times New Roman" w:hAnsi="Times New Roman"/>
          <w:szCs w:val="24"/>
          <w:vertAlign w:val="superscript"/>
        </w:rPr>
        <w:t>2</w:t>
      </w:r>
      <w:r w:rsidR="007629BF">
        <w:rPr>
          <w:rFonts w:ascii="Times New Roman" w:hAnsi="Times New Roman"/>
          <w:szCs w:val="24"/>
        </w:rPr>
        <w:t xml:space="preserve"> from running the planned statistical model of Step 1 through your statistical analysis package.  Alternatively, </w:t>
      </w:r>
      <w:r w:rsidR="007629BF" w:rsidRPr="007629BF">
        <w:rPr>
          <w:rFonts w:ascii="Times New Roman" w:hAnsi="Times New Roman"/>
          <w:i/>
          <w:szCs w:val="24"/>
        </w:rPr>
        <w:t>MSE can be estimated by using the variance of the pre-BMP data</w:t>
      </w:r>
      <w:r w:rsidR="007629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For</w:t>
      </w:r>
      <w:r w:rsidRPr="005A750A">
        <w:rPr>
          <w:rFonts w:ascii="Times New Roman" w:hAnsi="Times New Roman"/>
          <w:szCs w:val="24"/>
        </w:rPr>
        <w:t xml:space="preserve"> log normal data calculate this value on the log transformed data.</w:t>
      </w:r>
    </w:p>
    <w:p w:rsidR="007629BF" w:rsidRDefault="007629BF" w:rsidP="007629BF">
      <w:pPr>
        <w:pStyle w:val="NoSpacing"/>
        <w:rPr>
          <w:rFonts w:ascii="Times New Roman" w:hAnsi="Times New Roman"/>
          <w:szCs w:val="24"/>
        </w:rPr>
      </w:pPr>
    </w:p>
    <w:p w:rsidR="007629BF" w:rsidRDefault="007629BF" w:rsidP="007629BF">
      <w:pPr>
        <w:pStyle w:val="NoSpacing"/>
        <w:rPr>
          <w:rFonts w:ascii="Times New Roman" w:hAnsi="Times New Roman"/>
          <w:szCs w:val="24"/>
        </w:rPr>
      </w:pPr>
      <w:r w:rsidRPr="007629BF">
        <w:rPr>
          <w:rFonts w:ascii="Times New Roman" w:hAnsi="Times New Roman"/>
          <w:i/>
          <w:szCs w:val="24"/>
        </w:rPr>
        <w:t>If you estimate MDC using the variance of the pre-BMP data</w:t>
      </w:r>
      <w:r>
        <w:rPr>
          <w:rFonts w:ascii="Times New Roman" w:hAnsi="Times New Roman"/>
          <w:szCs w:val="24"/>
        </w:rPr>
        <w:t>, MDC is calculated as:</w:t>
      </w:r>
    </w:p>
    <w:p w:rsidR="007629BF" w:rsidRDefault="007629BF" w:rsidP="007629BF">
      <w:pPr>
        <w:pStyle w:val="NoSpacing"/>
        <w:rPr>
          <w:rFonts w:ascii="Times New Roman" w:hAnsi="Times New Roman"/>
          <w:szCs w:val="24"/>
        </w:rPr>
      </w:pPr>
    </w:p>
    <w:p w:rsidR="007629BF" w:rsidRPr="00BB51B7" w:rsidRDefault="009A4C44" w:rsidP="007629BF">
      <w:pPr>
        <w:pStyle w:val="BodyText2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460" w:lineRule="auto"/>
        <w:ind w:right="748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 xml:space="preserve">MDC= </m:t>
              </m:r>
              <m:r>
                <w:rPr>
                  <w:rFonts w:ascii="Cambria Math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pre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post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d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pre</m:t>
                      </m:r>
                    </m:sub>
                  </m:sSub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post</m:t>
                      </m:r>
                    </m:sub>
                  </m:sSub>
                </m:den>
              </m:f>
            </m:e>
          </m:rad>
          <m:r>
            <w:rPr>
              <w:rFonts w:ascii="Cambria Math"/>
            </w:rPr>
            <m:t xml:space="preserve"> </m:t>
          </m:r>
        </m:oMath>
      </m:oMathPara>
    </w:p>
    <w:p w:rsidR="007629BF" w:rsidRDefault="007629BF" w:rsidP="007629B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Where:  s</w:t>
      </w:r>
      <w:r w:rsidRPr="001B1763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is the sample variance of the pre-BMP data.</w:t>
      </w: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  <w:r w:rsidRPr="005A750A">
        <w:rPr>
          <w:rFonts w:ascii="Times New Roman" w:hAnsi="Times New Roman"/>
          <w:szCs w:val="24"/>
        </w:rPr>
        <w:t>The pre- and post-periods can have different sample sizes but should have the same sampl</w:t>
      </w:r>
      <w:r>
        <w:rPr>
          <w:rFonts w:ascii="Times New Roman" w:hAnsi="Times New Roman"/>
          <w:szCs w:val="24"/>
        </w:rPr>
        <w:t xml:space="preserve">ing </w:t>
      </w:r>
      <w:r w:rsidRPr="005A750A">
        <w:rPr>
          <w:rFonts w:ascii="Times New Roman" w:hAnsi="Times New Roman"/>
          <w:szCs w:val="24"/>
        </w:rPr>
        <w:t>frequency (e.g., weekly)</w:t>
      </w:r>
      <w:r>
        <w:rPr>
          <w:rFonts w:ascii="Times New Roman" w:hAnsi="Times New Roman"/>
          <w:szCs w:val="24"/>
        </w:rPr>
        <w:t>.</w:t>
      </w: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following considerations should be noted:</w:t>
      </w:r>
    </w:p>
    <w:p w:rsidR="009942F7" w:rsidRDefault="009942F7" w:rsidP="009942F7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choice of one- or two-sided t-statistic is based upon the question being asked.  Typically, the question is whether there has been a statistically significant </w:t>
      </w:r>
      <w:r w:rsidRPr="00B535BC">
        <w:rPr>
          <w:rFonts w:ascii="Times New Roman" w:hAnsi="Times New Roman"/>
          <w:i/>
          <w:szCs w:val="24"/>
        </w:rPr>
        <w:t>decrease</w:t>
      </w:r>
      <w:r>
        <w:rPr>
          <w:rFonts w:ascii="Times New Roman" w:hAnsi="Times New Roman"/>
          <w:szCs w:val="24"/>
        </w:rPr>
        <w:t xml:space="preserve"> in pollutant loads or concentrations and a one-sided t-statistic would be appropriate.  A two-sided t-statistic would be appropriate if the question being evaluated is whether a </w:t>
      </w:r>
      <w:r w:rsidRPr="00B535BC">
        <w:rPr>
          <w:rFonts w:ascii="Times New Roman" w:hAnsi="Times New Roman"/>
          <w:i/>
          <w:szCs w:val="24"/>
        </w:rPr>
        <w:t>change</w:t>
      </w:r>
      <w:r>
        <w:rPr>
          <w:rFonts w:ascii="Times New Roman" w:hAnsi="Times New Roman"/>
          <w:szCs w:val="24"/>
        </w:rPr>
        <w:t xml:space="preserve"> in pollutant loads or concentrations has occurred. The value of the t-statistic for a two-sided test is larger, resulting in a larger MDC value.</w:t>
      </w:r>
    </w:p>
    <w:p w:rsidR="009942F7" w:rsidRPr="006E3F26" w:rsidRDefault="009942F7" w:rsidP="009942F7">
      <w:pPr>
        <w:pStyle w:val="NoSpacing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</w:t>
      </w:r>
      <w:r w:rsidRPr="006E3F26">
        <w:rPr>
          <w:rFonts w:ascii="Times New Roman" w:hAnsi="Times New Roman"/>
          <w:szCs w:val="24"/>
        </w:rPr>
        <w:t xml:space="preserve"> this stage</w:t>
      </w:r>
      <w:r>
        <w:rPr>
          <w:rFonts w:ascii="Times New Roman" w:hAnsi="Times New Roman"/>
          <w:szCs w:val="24"/>
        </w:rPr>
        <w:t xml:space="preserve"> in the analysis</w:t>
      </w:r>
      <w:r w:rsidRPr="006E3F26">
        <w:rPr>
          <w:rFonts w:ascii="Times New Roman" w:hAnsi="Times New Roman"/>
          <w:szCs w:val="24"/>
        </w:rPr>
        <w:t>, the MDC is either in the original data scale (e.g., mg/L) if non-transformed data are used, or</w:t>
      </w:r>
      <w:r>
        <w:rPr>
          <w:rFonts w:ascii="Times New Roman" w:hAnsi="Times New Roman"/>
          <w:szCs w:val="24"/>
        </w:rPr>
        <w:t>, more typically</w:t>
      </w:r>
      <w:r w:rsidRPr="006E3F26">
        <w:rPr>
          <w:rFonts w:ascii="Times New Roman" w:hAnsi="Times New Roman"/>
          <w:szCs w:val="24"/>
        </w:rPr>
        <w:t xml:space="preserve"> in the log scale if log-transformed data are use.</w:t>
      </w:r>
    </w:p>
    <w:p w:rsidR="009942F7" w:rsidRPr="005A750A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proofErr w:type="gramStart"/>
      <w:r w:rsidRPr="00956C29">
        <w:rPr>
          <w:rFonts w:ascii="Times New Roman" w:hAnsi="Times New Roman"/>
          <w:b/>
          <w:bCs/>
          <w:i/>
          <w:iCs/>
          <w:sz w:val="26"/>
          <w:szCs w:val="26"/>
        </w:rPr>
        <w:t xml:space="preserve">Step </w:t>
      </w:r>
      <w:r w:rsidR="001F4346">
        <w:rPr>
          <w:rFonts w:ascii="Times New Roman" w:hAnsi="Times New Roman"/>
          <w:b/>
          <w:bCs/>
          <w:i/>
          <w:iCs/>
          <w:sz w:val="26"/>
          <w:szCs w:val="26"/>
        </w:rPr>
        <w:t>5</w:t>
      </w:r>
      <w:r w:rsidRPr="00956C29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proofErr w:type="gramEnd"/>
      <w:r w:rsidRPr="00956C29">
        <w:rPr>
          <w:rFonts w:ascii="Times New Roman" w:hAnsi="Times New Roman"/>
          <w:b/>
          <w:bCs/>
          <w:i/>
          <w:iCs/>
          <w:sz w:val="26"/>
          <w:szCs w:val="26"/>
        </w:rPr>
        <w:t xml:space="preserve"> Express MDC as a Percent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Decrease</w:t>
      </w:r>
      <w:r w:rsidRPr="00956C29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r w:rsidRPr="00932278">
        <w:rPr>
          <w:rFonts w:ascii="Times New Roman" w:hAnsi="Times New Roman"/>
          <w:szCs w:val="24"/>
        </w:rPr>
        <w:t xml:space="preserve"> If the data analyzed were not transformed, </w:t>
      </w:r>
      <w:r>
        <w:rPr>
          <w:rFonts w:ascii="Times New Roman" w:hAnsi="Times New Roman"/>
          <w:szCs w:val="24"/>
        </w:rPr>
        <w:t>MDC as a percent change (</w:t>
      </w:r>
      <w:proofErr w:type="gramStart"/>
      <w:r>
        <w:rPr>
          <w:rFonts w:ascii="Times New Roman" w:hAnsi="Times New Roman"/>
          <w:szCs w:val="24"/>
        </w:rPr>
        <w:t>MDC%</w:t>
      </w:r>
      <w:proofErr w:type="gramEnd"/>
      <w:r>
        <w:rPr>
          <w:rFonts w:ascii="Times New Roman" w:hAnsi="Times New Roman"/>
          <w:szCs w:val="24"/>
        </w:rPr>
        <w:t xml:space="preserve">) </w:t>
      </w:r>
      <w:r w:rsidRPr="00932278">
        <w:rPr>
          <w:rFonts w:ascii="Times New Roman" w:hAnsi="Times New Roman"/>
          <w:szCs w:val="24"/>
        </w:rPr>
        <w:t xml:space="preserve">is </w:t>
      </w:r>
      <w:r>
        <w:rPr>
          <w:rFonts w:ascii="Times New Roman" w:hAnsi="Times New Roman"/>
          <w:szCs w:val="24"/>
        </w:rPr>
        <w:t>simply</w:t>
      </w:r>
      <w:r w:rsidRPr="00932278">
        <w:rPr>
          <w:rFonts w:ascii="Times New Roman" w:hAnsi="Times New Roman"/>
          <w:szCs w:val="24"/>
        </w:rPr>
        <w:t xml:space="preserve"> the MDC</w:t>
      </w:r>
      <w:r>
        <w:rPr>
          <w:rFonts w:ascii="Times New Roman" w:hAnsi="Times New Roman"/>
          <w:szCs w:val="24"/>
        </w:rPr>
        <w:t xml:space="preserve"> from Step </w:t>
      </w:r>
      <w:r w:rsidR="00170090">
        <w:rPr>
          <w:rFonts w:ascii="Times New Roman" w:hAnsi="Times New Roman"/>
          <w:szCs w:val="24"/>
        </w:rPr>
        <w:t>5</w:t>
      </w:r>
      <w:r w:rsidR="00170090" w:rsidRPr="00932278">
        <w:rPr>
          <w:rFonts w:ascii="Times New Roman" w:hAnsi="Times New Roman"/>
          <w:szCs w:val="24"/>
        </w:rPr>
        <w:t xml:space="preserve"> </w:t>
      </w:r>
      <w:r w:rsidRPr="00932278">
        <w:rPr>
          <w:rFonts w:ascii="Times New Roman" w:hAnsi="Times New Roman"/>
          <w:szCs w:val="24"/>
        </w:rPr>
        <w:t>divided by the average value in the pre-BMP period expressed as a percentage</w:t>
      </w:r>
      <w:r>
        <w:rPr>
          <w:rFonts w:ascii="Times New Roman" w:hAnsi="Times New Roman"/>
          <w:szCs w:val="24"/>
        </w:rPr>
        <w:t xml:space="preserve"> (e.g., MDC% = 100*(MDC/mean of Pre-BMP data)</w:t>
      </w:r>
      <w:r w:rsidRPr="00932278">
        <w:rPr>
          <w:rFonts w:ascii="Times New Roman" w:hAnsi="Times New Roman"/>
          <w:szCs w:val="24"/>
        </w:rPr>
        <w:t xml:space="preserve">. </w:t>
      </w: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r w:rsidRPr="00932278">
        <w:rPr>
          <w:rFonts w:ascii="Times New Roman" w:hAnsi="Times New Roman"/>
          <w:szCs w:val="24"/>
        </w:rPr>
        <w:t xml:space="preserve">If the data were </w:t>
      </w:r>
      <w:r w:rsidRPr="00932278">
        <w:rPr>
          <w:rFonts w:ascii="Times New Roman" w:hAnsi="Times New Roman"/>
          <w:b/>
          <w:szCs w:val="24"/>
        </w:rPr>
        <w:t>log-transformed</w:t>
      </w:r>
      <w:r w:rsidRPr="00932278">
        <w:rPr>
          <w:rFonts w:ascii="Times New Roman" w:hAnsi="Times New Roman"/>
          <w:szCs w:val="24"/>
        </w:rPr>
        <w:t>, a simple calculation can be performed to express the MDC as a percent decrease in the geometric mean concentration relative to the initial geometric mean concentration or load. The calculation is:</w:t>
      </w: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r w:rsidRPr="00932278">
        <w:rPr>
          <w:rFonts w:ascii="Times New Roman" w:hAnsi="Times New Roman"/>
          <w:szCs w:val="24"/>
        </w:rPr>
        <w:t>MDC</w:t>
      </w:r>
      <w:r>
        <w:rPr>
          <w:rFonts w:ascii="Times New Roman" w:hAnsi="Times New Roman"/>
          <w:szCs w:val="24"/>
        </w:rPr>
        <w:t>%</w:t>
      </w:r>
      <w:r w:rsidRPr="00932278">
        <w:rPr>
          <w:rFonts w:ascii="Times New Roman" w:hAnsi="Times New Roman"/>
          <w:szCs w:val="24"/>
        </w:rPr>
        <w:t xml:space="preserve"> = (1 - 10</w:t>
      </w:r>
      <w:r w:rsidRPr="00932278">
        <w:rPr>
          <w:rFonts w:ascii="Times New Roman" w:hAnsi="Times New Roman"/>
          <w:szCs w:val="24"/>
          <w:vertAlign w:val="superscript"/>
        </w:rPr>
        <w:t>-MDC'</w:t>
      </w:r>
      <w:r w:rsidRPr="00932278">
        <w:rPr>
          <w:rFonts w:ascii="Times New Roman" w:hAnsi="Times New Roman"/>
          <w:szCs w:val="24"/>
        </w:rPr>
        <w:t>) * 100</w:t>
      </w: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r w:rsidRPr="00932278">
        <w:rPr>
          <w:rFonts w:ascii="Times New Roman" w:hAnsi="Times New Roman"/>
          <w:szCs w:val="24"/>
        </w:rPr>
        <w:t>Where</w:t>
      </w:r>
      <w:r>
        <w:rPr>
          <w:rFonts w:ascii="Times New Roman" w:hAnsi="Times New Roman"/>
          <w:szCs w:val="24"/>
        </w:rPr>
        <w:t>:</w:t>
      </w:r>
      <w:r w:rsidRPr="00932278">
        <w:rPr>
          <w:rFonts w:ascii="Times New Roman" w:hAnsi="Times New Roman"/>
          <w:szCs w:val="24"/>
        </w:rPr>
        <w:t xml:space="preserve"> MDC</w:t>
      </w:r>
      <w:r w:rsidRPr="00D1732D">
        <w:rPr>
          <w:rFonts w:ascii="Times New Roman" w:hAnsi="Times New Roman"/>
          <w:szCs w:val="24"/>
        </w:rPr>
        <w:t>'</w:t>
      </w:r>
      <w:r w:rsidRPr="00932278">
        <w:rPr>
          <w:rFonts w:ascii="Times New Roman" w:hAnsi="Times New Roman"/>
          <w:szCs w:val="24"/>
        </w:rPr>
        <w:t xml:space="preserve"> is the MDC on the log scale and MDC</w:t>
      </w:r>
      <w:r>
        <w:rPr>
          <w:rFonts w:ascii="Times New Roman" w:hAnsi="Times New Roman"/>
          <w:szCs w:val="24"/>
        </w:rPr>
        <w:t>%</w:t>
      </w:r>
      <w:r w:rsidRPr="00932278">
        <w:rPr>
          <w:rFonts w:ascii="Times New Roman" w:hAnsi="Times New Roman"/>
          <w:szCs w:val="24"/>
        </w:rPr>
        <w:t xml:space="preserve"> is a percentage</w:t>
      </w:r>
      <w:r>
        <w:rPr>
          <w:rFonts w:ascii="Times New Roman" w:hAnsi="Times New Roman"/>
          <w:szCs w:val="24"/>
        </w:rPr>
        <w:t>.</w:t>
      </w:r>
    </w:p>
    <w:p w:rsidR="009942F7" w:rsidRPr="00932278" w:rsidRDefault="009942F7" w:rsidP="009942F7">
      <w:pPr>
        <w:pStyle w:val="BodyText31"/>
        <w:spacing w:line="288" w:lineRule="atLeast"/>
        <w:ind w:right="748" w:hanging="720"/>
        <w:rPr>
          <w:sz w:val="24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r w:rsidRPr="00932278">
        <w:rPr>
          <w:rFonts w:ascii="Times New Roman" w:hAnsi="Times New Roman"/>
          <w:szCs w:val="24"/>
        </w:rPr>
        <w:lastRenderedPageBreak/>
        <w:t>MDC</w:t>
      </w:r>
      <w:r w:rsidRPr="00D1732D">
        <w:rPr>
          <w:rFonts w:ascii="Times New Roman" w:hAnsi="Times New Roman"/>
          <w:szCs w:val="24"/>
        </w:rPr>
        <w:t>'</w:t>
      </w:r>
      <w:r w:rsidRPr="00932278">
        <w:rPr>
          <w:rFonts w:ascii="Times New Roman" w:hAnsi="Times New Roman"/>
          <w:szCs w:val="24"/>
        </w:rPr>
        <w:t xml:space="preserve"> is the difference required on the logarithmic scale to detect a significant decreasing trend (</w:t>
      </w:r>
      <w:r w:rsidR="00B535BC">
        <w:rPr>
          <w:rFonts w:ascii="Times New Roman" w:hAnsi="Times New Roman"/>
          <w:szCs w:val="24"/>
        </w:rPr>
        <w:t>c</w:t>
      </w:r>
      <w:r w:rsidRPr="00932278">
        <w:rPr>
          <w:rFonts w:ascii="Times New Roman" w:hAnsi="Times New Roman"/>
          <w:szCs w:val="24"/>
        </w:rPr>
        <w:t xml:space="preserve">alculated in Step </w:t>
      </w:r>
      <w:r w:rsidR="00170090">
        <w:rPr>
          <w:rFonts w:ascii="Times New Roman" w:hAnsi="Times New Roman"/>
          <w:szCs w:val="24"/>
        </w:rPr>
        <w:t>4</w:t>
      </w:r>
      <w:r w:rsidR="00170090" w:rsidRPr="00932278">
        <w:rPr>
          <w:rFonts w:ascii="Times New Roman" w:hAnsi="Times New Roman"/>
          <w:szCs w:val="24"/>
        </w:rPr>
        <w:t xml:space="preserve"> </w:t>
      </w:r>
      <w:r w:rsidRPr="00932278">
        <w:rPr>
          <w:rFonts w:ascii="Times New Roman" w:hAnsi="Times New Roman"/>
          <w:szCs w:val="24"/>
        </w:rPr>
        <w:t>using log transformed data).  MDC</w:t>
      </w:r>
      <w:r w:rsidRPr="00D1732D">
        <w:rPr>
          <w:rFonts w:ascii="Times New Roman" w:hAnsi="Times New Roman"/>
          <w:szCs w:val="24"/>
        </w:rPr>
        <w:t>'</w:t>
      </w:r>
      <w:r w:rsidRPr="00932278">
        <w:rPr>
          <w:rFonts w:ascii="Times New Roman" w:hAnsi="Times New Roman"/>
          <w:szCs w:val="24"/>
        </w:rPr>
        <w:t xml:space="preserve"> is a positive number if mean concentrations decrease over time.</w:t>
      </w:r>
      <w:r w:rsidR="008A2187">
        <w:rPr>
          <w:rFonts w:ascii="Times New Roman" w:hAnsi="Times New Roman"/>
          <w:szCs w:val="24"/>
        </w:rPr>
        <w:t xml:space="preserve"> </w:t>
      </w:r>
      <w:r w:rsidRPr="00932278">
        <w:rPr>
          <w:rFonts w:ascii="Times New Roman" w:hAnsi="Times New Roman"/>
          <w:szCs w:val="24"/>
        </w:rPr>
        <w:t>For example, for MDC'= 0.1</w:t>
      </w:r>
      <w:r>
        <w:rPr>
          <w:rFonts w:ascii="Times New Roman" w:hAnsi="Times New Roman"/>
          <w:szCs w:val="24"/>
        </w:rPr>
        <w:t xml:space="preserve"> (10</w:t>
      </w:r>
      <w:r>
        <w:rPr>
          <w:rFonts w:ascii="Times New Roman" w:hAnsi="Times New Roman"/>
          <w:szCs w:val="24"/>
          <w:vertAlign w:val="superscript"/>
        </w:rPr>
        <w:t>-0.1</w:t>
      </w:r>
      <w:r>
        <w:rPr>
          <w:rFonts w:ascii="Times New Roman" w:hAnsi="Times New Roman"/>
          <w:szCs w:val="24"/>
        </w:rPr>
        <w:t xml:space="preserve"> = 0.79)</w:t>
      </w:r>
      <w:r w:rsidRPr="00932278">
        <w:rPr>
          <w:rFonts w:ascii="Times New Roman" w:hAnsi="Times New Roman"/>
          <w:szCs w:val="24"/>
        </w:rPr>
        <w:t>, the MDC</w:t>
      </w:r>
      <w:r>
        <w:rPr>
          <w:rFonts w:ascii="Times New Roman" w:hAnsi="Times New Roman"/>
          <w:szCs w:val="24"/>
        </w:rPr>
        <w:t>%</w:t>
      </w:r>
      <w:r w:rsidRPr="00932278">
        <w:rPr>
          <w:rFonts w:ascii="Times New Roman" w:hAnsi="Times New Roman"/>
          <w:szCs w:val="24"/>
        </w:rPr>
        <w:t xml:space="preserve"> or percent reduction in water quality for required for statistical significance = 21%; MDC' = 0.2</w:t>
      </w:r>
      <w:r>
        <w:rPr>
          <w:rFonts w:ascii="Times New Roman" w:hAnsi="Times New Roman"/>
          <w:szCs w:val="24"/>
        </w:rPr>
        <w:t xml:space="preserve"> (10</w:t>
      </w:r>
      <w:r>
        <w:rPr>
          <w:rFonts w:ascii="Times New Roman" w:hAnsi="Times New Roman"/>
          <w:szCs w:val="24"/>
          <w:vertAlign w:val="superscript"/>
        </w:rPr>
        <w:t>-0.2</w:t>
      </w:r>
      <w:r>
        <w:rPr>
          <w:rFonts w:ascii="Times New Roman" w:hAnsi="Times New Roman"/>
          <w:szCs w:val="24"/>
        </w:rPr>
        <w:t xml:space="preserve"> = 0.63)</w:t>
      </w:r>
      <w:r w:rsidRPr="00932278">
        <w:rPr>
          <w:rFonts w:ascii="Times New Roman" w:hAnsi="Times New Roman"/>
          <w:szCs w:val="24"/>
        </w:rPr>
        <w:t>, MDC</w:t>
      </w:r>
      <w:r>
        <w:rPr>
          <w:rFonts w:ascii="Times New Roman" w:hAnsi="Times New Roman"/>
          <w:szCs w:val="24"/>
        </w:rPr>
        <w:t>%</w:t>
      </w:r>
      <w:r w:rsidRPr="00932278">
        <w:rPr>
          <w:rFonts w:ascii="Times New Roman" w:hAnsi="Times New Roman"/>
          <w:szCs w:val="24"/>
        </w:rPr>
        <w:t xml:space="preserve"> = 37%.</w:t>
      </w:r>
    </w:p>
    <w:p w:rsidR="009942F7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  <w:r w:rsidRPr="00932278">
        <w:rPr>
          <w:rFonts w:ascii="Times New Roman" w:hAnsi="Times New Roman"/>
          <w:szCs w:val="24"/>
        </w:rPr>
        <w:t xml:space="preserve">It should be noted that if the natural logarithmic transformation had been used, then: </w:t>
      </w:r>
    </w:p>
    <w:p w:rsidR="009942F7" w:rsidRPr="00932278" w:rsidRDefault="009942F7" w:rsidP="009942F7">
      <w:pPr>
        <w:pStyle w:val="NoSpacing"/>
        <w:rPr>
          <w:rFonts w:ascii="Times New Roman" w:hAnsi="Times New Roman"/>
          <w:szCs w:val="24"/>
        </w:rPr>
      </w:pPr>
    </w:p>
    <w:p w:rsidR="009942F7" w:rsidRPr="000635AB" w:rsidRDefault="009942F7" w:rsidP="009942F7">
      <w:pPr>
        <w:pStyle w:val="BodyText31"/>
        <w:spacing w:line="288" w:lineRule="atLeast"/>
        <w:ind w:left="1440" w:right="748" w:hanging="1440"/>
        <w:rPr>
          <w:sz w:val="24"/>
          <w:szCs w:val="24"/>
        </w:rPr>
      </w:pPr>
      <w:r w:rsidRPr="00932278">
        <w:rPr>
          <w:sz w:val="24"/>
          <w:szCs w:val="24"/>
        </w:rPr>
        <w:t>MDC</w:t>
      </w:r>
      <w:r w:rsidRPr="000635AB">
        <w:rPr>
          <w:sz w:val="24"/>
          <w:szCs w:val="24"/>
        </w:rPr>
        <w:t xml:space="preserve">% = ((1 - </w:t>
      </w:r>
      <w:proofErr w:type="spellStart"/>
      <w:r w:rsidRPr="000635AB">
        <w:rPr>
          <w:sz w:val="24"/>
          <w:szCs w:val="24"/>
        </w:rPr>
        <w:t>exp</w:t>
      </w:r>
      <w:proofErr w:type="spellEnd"/>
      <w:r w:rsidRPr="000635AB">
        <w:rPr>
          <w:sz w:val="24"/>
          <w:szCs w:val="24"/>
          <w:vertAlign w:val="superscript"/>
        </w:rPr>
        <w:t>-MDC'</w:t>
      </w:r>
      <w:r w:rsidRPr="000635AB">
        <w:rPr>
          <w:sz w:val="24"/>
          <w:szCs w:val="24"/>
        </w:rPr>
        <w:t>)) * 100</w:t>
      </w:r>
    </w:p>
    <w:p w:rsidR="009E730B" w:rsidRPr="000635AB" w:rsidRDefault="009E730B" w:rsidP="001332DC"/>
    <w:p w:rsidR="009E730B" w:rsidRDefault="009E730B" w:rsidP="001332DC">
      <w:r w:rsidRPr="000635AB">
        <w:t xml:space="preserve">In cases where limited data are inadequate to calculate an MDC, data from similar watersheds in the area or from the literature can be used.  For example, the MDC for a study with a plan for 20 samples </w:t>
      </w:r>
      <w:r w:rsidR="001332DC" w:rsidRPr="000635AB">
        <w:t xml:space="preserve">before and after BMP installation </w:t>
      </w:r>
      <w:r w:rsidRPr="000635AB">
        <w:t xml:space="preserve">using erosion bridges to measure change in erosion (soil altitude) was estimated using a literature-derived standard deviation of </w:t>
      </w:r>
      <w:r w:rsidR="001332DC" w:rsidRPr="000635AB">
        <w:t xml:space="preserve">11.0 </w:t>
      </w:r>
      <w:r w:rsidRPr="000635AB">
        <w:t>mm</w:t>
      </w:r>
      <w:r w:rsidR="00B535BC">
        <w:t xml:space="preserve">. </w:t>
      </w:r>
      <w:r w:rsidR="003B283C" w:rsidRPr="000635AB">
        <w:t xml:space="preserve">Plugging that value into </w:t>
      </w:r>
      <w:r w:rsidR="00B075AA" w:rsidRPr="000635AB">
        <w:t xml:space="preserve">the Step </w:t>
      </w:r>
      <w:r w:rsidR="00265C50">
        <w:t>4</w:t>
      </w:r>
      <w:r w:rsidR="00996584" w:rsidRPr="000635AB">
        <w:t xml:space="preserve"> </w:t>
      </w:r>
      <w:r w:rsidR="00B075AA" w:rsidRPr="000635AB">
        <w:t>equation</w:t>
      </w:r>
      <w:r w:rsidR="003B283C" w:rsidRPr="000635AB">
        <w:t xml:space="preserve"> (t for 38 </w:t>
      </w:r>
      <w:proofErr w:type="spellStart"/>
      <w:r w:rsidR="003B283C" w:rsidRPr="000635AB">
        <w:t>d.f.</w:t>
      </w:r>
      <w:proofErr w:type="spellEnd"/>
      <w:r w:rsidR="003B283C" w:rsidRPr="000635AB">
        <w:t xml:space="preserve"> at </w:t>
      </w:r>
      <w:r w:rsidR="003B283C" w:rsidRPr="000635AB">
        <w:rPr>
          <w:i/>
          <w:iCs/>
        </w:rPr>
        <w:t>p</w:t>
      </w:r>
      <w:r w:rsidR="003B283C" w:rsidRPr="000635AB">
        <w:t xml:space="preserve"> = 0.05 is 2.0</w:t>
      </w:r>
      <w:r w:rsidR="00C97FFB" w:rsidRPr="000635AB">
        <w:t>244</w:t>
      </w:r>
      <w:r w:rsidR="003B283C" w:rsidRPr="000635AB">
        <w:rPr>
          <w:rStyle w:val="FootnoteReference"/>
        </w:rPr>
        <w:footnoteReference w:id="1"/>
      </w:r>
      <w:r w:rsidR="003B283C" w:rsidRPr="000635AB">
        <w:t>, MSE=3.025)</w:t>
      </w:r>
      <w:r w:rsidR="00B075AA" w:rsidRPr="000635AB">
        <w:t xml:space="preserve"> yields a value of 7.04 mm. If the pre-BMP mean is </w:t>
      </w:r>
      <w:r w:rsidR="002F69A5" w:rsidRPr="000635AB">
        <w:t xml:space="preserve">15 mm, the MDC% is 46.9%. </w:t>
      </w:r>
      <w:r w:rsidR="003B283C" w:rsidRPr="000635AB">
        <w:t xml:space="preserve">Thus, a reduction in erosion rate of at least </w:t>
      </w:r>
      <w:r w:rsidR="002F69A5" w:rsidRPr="000635AB">
        <w:t>4</w:t>
      </w:r>
      <w:r w:rsidR="00004223" w:rsidRPr="000635AB">
        <w:t>7</w:t>
      </w:r>
      <w:r w:rsidR="003B283C" w:rsidRPr="000635AB">
        <w:t>% was</w:t>
      </w:r>
      <w:r w:rsidR="001332DC" w:rsidRPr="000635AB">
        <w:t xml:space="preserve"> needed for the monitoring program to detect the change</w:t>
      </w:r>
      <w:r w:rsidR="002F69A5" w:rsidRPr="000635AB">
        <w:t>.</w:t>
      </w:r>
    </w:p>
    <w:p w:rsidR="001332DC" w:rsidRDefault="001332DC" w:rsidP="001332DC"/>
    <w:p w:rsidR="00227454" w:rsidRPr="00CA1ACF" w:rsidRDefault="00227454" w:rsidP="00227454">
      <w:proofErr w:type="gramStart"/>
      <w:r w:rsidRPr="00227454">
        <w:rPr>
          <w:b/>
          <w:bCs/>
          <w:i/>
          <w:iCs/>
          <w:sz w:val="26"/>
          <w:szCs w:val="26"/>
          <w:lang w:bidi="en-US"/>
        </w:rPr>
        <w:t xml:space="preserve">Step </w:t>
      </w:r>
      <w:r w:rsidR="001F4346">
        <w:rPr>
          <w:b/>
          <w:bCs/>
          <w:i/>
          <w:iCs/>
          <w:sz w:val="26"/>
          <w:szCs w:val="26"/>
          <w:lang w:bidi="en-US"/>
        </w:rPr>
        <w:t>6</w:t>
      </w:r>
      <w:r w:rsidRPr="00227454">
        <w:rPr>
          <w:b/>
          <w:bCs/>
          <w:i/>
          <w:iCs/>
          <w:sz w:val="26"/>
          <w:szCs w:val="26"/>
          <w:lang w:bidi="en-US"/>
        </w:rPr>
        <w:t>.</w:t>
      </w:r>
      <w:proofErr w:type="gramEnd"/>
      <w:r w:rsidRPr="00227454">
        <w:rPr>
          <w:b/>
          <w:bCs/>
          <w:i/>
          <w:iCs/>
          <w:sz w:val="26"/>
          <w:szCs w:val="26"/>
          <w:lang w:bidi="en-US"/>
        </w:rPr>
        <w:t xml:space="preserve"> Compare the MDC with expected pollutant reduction.</w:t>
      </w:r>
      <w:r>
        <w:t xml:space="preserve">  Compare the estimated amount of pollutant reductions expected (concentration, loads, percentages) with the planned BMP</w:t>
      </w:r>
      <w:r w:rsidR="00A24300">
        <w:t>s</w:t>
      </w:r>
      <w:r>
        <w:t xml:space="preserve"> to the estimated MDC for the water quality monitoring design.</w:t>
      </w:r>
    </w:p>
    <w:p w:rsidR="00227454" w:rsidRDefault="00227454" w:rsidP="001332DC"/>
    <w:p w:rsidR="000502B4" w:rsidRDefault="001332DC" w:rsidP="000502B4">
      <w:r>
        <w:t>In cases where ecological monitoring is performed, provide evidence from similar studies that the degree of improvement expected from implementing the BMPs can be measured with the proposed monitoring plan.</w:t>
      </w:r>
      <w:r w:rsidR="000502B4">
        <w:t xml:space="preserve">  For example, scores for the </w:t>
      </w:r>
      <w:proofErr w:type="spellStart"/>
      <w:r w:rsidR="000502B4">
        <w:t>macroinvertebrate</w:t>
      </w:r>
      <w:proofErr w:type="spellEnd"/>
      <w:r w:rsidR="000502B4">
        <w:t xml:space="preserve"> portion of Michigan Department of Environmental Quality’s P51 protocol range from -9 to +9, and are categorized as follows (</w:t>
      </w:r>
      <w:proofErr w:type="spellStart"/>
      <w:r w:rsidR="000502B4">
        <w:t>Rathbun</w:t>
      </w:r>
      <w:proofErr w:type="spellEnd"/>
      <w:r w:rsidR="000502B4">
        <w:t>, 2007):</w:t>
      </w:r>
    </w:p>
    <w:p w:rsidR="000502B4" w:rsidRDefault="000502B4" w:rsidP="000502B4"/>
    <w:p w:rsidR="000502B4" w:rsidRDefault="000502B4" w:rsidP="000502B4">
      <w:pPr>
        <w:numPr>
          <w:ilvl w:val="0"/>
          <w:numId w:val="6"/>
        </w:numPr>
      </w:pPr>
      <w:r>
        <w:t>&lt; -4 = “poor”</w:t>
      </w:r>
    </w:p>
    <w:p w:rsidR="000502B4" w:rsidRDefault="000502B4" w:rsidP="000502B4">
      <w:pPr>
        <w:numPr>
          <w:ilvl w:val="0"/>
          <w:numId w:val="6"/>
        </w:numPr>
      </w:pPr>
      <w:r>
        <w:t>-4 to + 4 = “acceptable”</w:t>
      </w:r>
    </w:p>
    <w:p w:rsidR="000502B4" w:rsidRDefault="000502B4" w:rsidP="000502B4">
      <w:pPr>
        <w:numPr>
          <w:ilvl w:val="0"/>
          <w:numId w:val="6"/>
        </w:numPr>
      </w:pPr>
      <w:r>
        <w:t>&gt; +4 = “excellent”</w:t>
      </w:r>
    </w:p>
    <w:p w:rsidR="008A6383" w:rsidRDefault="008A6383" w:rsidP="001332DC"/>
    <w:p w:rsidR="001332DC" w:rsidRPr="00243E2D" w:rsidRDefault="008A6383" w:rsidP="001332DC">
      <w:r>
        <w:t xml:space="preserve">Background data were presented to show that substantial opportunity existed to raise current scores (most either 0 or 2) with implementation of BMPs planned </w:t>
      </w:r>
      <w:r w:rsidR="00B535BC">
        <w:t xml:space="preserve">for a remediation </w:t>
      </w:r>
      <w:r>
        <w:t>project.</w:t>
      </w:r>
    </w:p>
    <w:p w:rsidR="000176B0" w:rsidRDefault="000176B0" w:rsidP="00123557"/>
    <w:p w:rsidR="000176B0" w:rsidRPr="006C7633" w:rsidRDefault="00425385" w:rsidP="00123557">
      <w:pPr>
        <w:rPr>
          <w:color w:val="000000"/>
        </w:rPr>
      </w:pPr>
      <w:r>
        <w:rPr>
          <w:b/>
        </w:rPr>
        <w:t>Quality Assurance/Quality Control</w:t>
      </w:r>
    </w:p>
    <w:p w:rsidR="00425385" w:rsidRPr="006C7633" w:rsidRDefault="00425385" w:rsidP="00123557">
      <w:pPr>
        <w:rPr>
          <w:color w:val="000000"/>
        </w:rPr>
      </w:pPr>
      <w:r w:rsidRPr="006C7633">
        <w:rPr>
          <w:color w:val="000000"/>
        </w:rPr>
        <w:t>This information should be prepared in accordance with</w:t>
      </w:r>
      <w:r w:rsidR="003538EC" w:rsidRPr="006C7633">
        <w:rPr>
          <w:color w:val="000000"/>
        </w:rPr>
        <w:t xml:space="preserve"> </w:t>
      </w:r>
      <w:r w:rsidR="006C7633" w:rsidRPr="006C7633">
        <w:rPr>
          <w:color w:val="000000"/>
        </w:rPr>
        <w:t>either the s</w:t>
      </w:r>
      <w:r w:rsidR="003538EC" w:rsidRPr="006C7633">
        <w:rPr>
          <w:color w:val="000000"/>
        </w:rPr>
        <w:t xml:space="preserve">tate’s approved Quality </w:t>
      </w:r>
      <w:r w:rsidR="006C7633" w:rsidRPr="006C7633">
        <w:rPr>
          <w:color w:val="000000"/>
        </w:rPr>
        <w:t>M</w:t>
      </w:r>
      <w:r w:rsidR="003538EC" w:rsidRPr="006C7633">
        <w:rPr>
          <w:color w:val="000000"/>
        </w:rPr>
        <w:t xml:space="preserve">anagement Program or </w:t>
      </w:r>
      <w:r w:rsidRPr="006C7633">
        <w:rPr>
          <w:color w:val="000000"/>
        </w:rPr>
        <w:t>USEPA requirements and included by reference here.</w:t>
      </w:r>
    </w:p>
    <w:p w:rsidR="000176B0" w:rsidRPr="006C7633" w:rsidRDefault="000176B0" w:rsidP="00123557">
      <w:pPr>
        <w:rPr>
          <w:color w:val="000000"/>
        </w:rPr>
      </w:pPr>
    </w:p>
    <w:p w:rsidR="00B95000" w:rsidRPr="006C7633" w:rsidRDefault="00B95000" w:rsidP="00123557">
      <w:pPr>
        <w:rPr>
          <w:color w:val="000000"/>
        </w:rPr>
      </w:pPr>
      <w:r w:rsidRPr="006C7633">
        <w:rPr>
          <w:b/>
          <w:color w:val="000000"/>
        </w:rPr>
        <w:t>Data Management and Analysis</w:t>
      </w:r>
    </w:p>
    <w:p w:rsidR="00B95000" w:rsidRPr="00B95000" w:rsidRDefault="006D23F4" w:rsidP="00123557">
      <w:r>
        <w:t xml:space="preserve">Describe in 1 page or less how data will be managed and integrated for analysis of project effectiveness.  Describe </w:t>
      </w:r>
      <w:r w:rsidR="001332DC">
        <w:t xml:space="preserve">the </w:t>
      </w:r>
      <w:r>
        <w:t xml:space="preserve">statistical tests </w:t>
      </w:r>
      <w:r w:rsidR="001332DC">
        <w:t>for which</w:t>
      </w:r>
      <w:r>
        <w:t xml:space="preserve"> each monitoring variable</w:t>
      </w:r>
      <w:r w:rsidR="001332DC">
        <w:t xml:space="preserve"> will be used</w:t>
      </w:r>
      <w:r>
        <w:t>.</w:t>
      </w:r>
    </w:p>
    <w:p w:rsidR="00B95000" w:rsidRPr="002D14E0" w:rsidRDefault="00B95000" w:rsidP="00123557"/>
    <w:p w:rsidR="009B0063" w:rsidRDefault="000F614D" w:rsidP="009B0063">
      <w:r>
        <w:rPr>
          <w:b/>
        </w:rPr>
        <w:br w:type="page"/>
      </w:r>
      <w:r w:rsidR="009B0063">
        <w:rPr>
          <w:b/>
        </w:rPr>
        <w:lastRenderedPageBreak/>
        <w:t>Reporting and Communications</w:t>
      </w:r>
    </w:p>
    <w:p w:rsidR="009B0063" w:rsidRDefault="009B0063" w:rsidP="009B0063">
      <w:r>
        <w:t xml:space="preserve">Tier 2 NMP projects are required to </w:t>
      </w:r>
      <w:r w:rsidRPr="000A5881">
        <w:rPr>
          <w:color w:val="000000"/>
        </w:rPr>
        <w:t xml:space="preserve">submit </w:t>
      </w:r>
      <w:r w:rsidR="003538EC" w:rsidRPr="000A5881">
        <w:rPr>
          <w:color w:val="000000"/>
        </w:rPr>
        <w:t>semi</w:t>
      </w:r>
      <w:r w:rsidR="000A5881">
        <w:rPr>
          <w:color w:val="000000"/>
        </w:rPr>
        <w:t>-</w:t>
      </w:r>
      <w:r w:rsidR="003538EC" w:rsidRPr="000A5881">
        <w:rPr>
          <w:color w:val="000000"/>
        </w:rPr>
        <w:t xml:space="preserve">annual </w:t>
      </w:r>
      <w:r w:rsidRPr="000A5881">
        <w:rPr>
          <w:color w:val="000000"/>
        </w:rPr>
        <w:t>and</w:t>
      </w:r>
      <w:r>
        <w:t xml:space="preserve"> annual reports to USEPA.  Brief </w:t>
      </w:r>
      <w:r w:rsidR="000A5881">
        <w:t>semi-annual</w:t>
      </w:r>
      <w:r>
        <w:t xml:space="preserve"> reports are essential to ensuring that projects inspect their data on a routine basis to allow opportunities to make mid-course corrections as needed to achieve project objectives.  Annual reports are to include a summary of all project activities during the year, as well as analysis of all monitoring and BMP data collected since project startup.  The final report will include a summary of all information relevant to project objectives, an analysis of all relevant data, and conclusions and recommendations.</w:t>
      </w:r>
    </w:p>
    <w:p w:rsidR="002D3962" w:rsidRDefault="002D3962" w:rsidP="009B0063"/>
    <w:p w:rsidR="002D3962" w:rsidRDefault="002D3962" w:rsidP="009B0063">
      <w:r>
        <w:t>Communication of project need</w:t>
      </w:r>
      <w:r w:rsidR="00B535BC">
        <w:t>s</w:t>
      </w:r>
      <w:r>
        <w:t>, status, and results among stakeholders is an essential part of successful water quality projects.  Describe in 1 page or less the plan for such communication.</w:t>
      </w:r>
    </w:p>
    <w:p w:rsidR="009B0063" w:rsidRDefault="009B0063" w:rsidP="009B0063"/>
    <w:p w:rsidR="005A28C1" w:rsidRDefault="004A03AF" w:rsidP="00123557">
      <w:r>
        <w:rPr>
          <w:b/>
        </w:rPr>
        <w:t>Budget</w:t>
      </w:r>
    </w:p>
    <w:p w:rsidR="008B5C95" w:rsidRDefault="004A03AF" w:rsidP="00123557">
      <w:r>
        <w:t xml:space="preserve">Relevant </w:t>
      </w:r>
      <w:r w:rsidR="008B5C95">
        <w:t>b</w:t>
      </w:r>
      <w:r>
        <w:t xml:space="preserve">udget information is entered into Table </w:t>
      </w:r>
      <w:r w:rsidR="0034341E">
        <w:t>4</w:t>
      </w:r>
      <w:r>
        <w:t>.</w:t>
      </w:r>
      <w:r w:rsidR="00997287">
        <w:t xml:space="preserve"> </w:t>
      </w:r>
      <w:r w:rsidR="008B5C95">
        <w:t>B</w:t>
      </w:r>
      <w:r w:rsidR="00970BB1">
        <w:t xml:space="preserve">udget information can be developed </w:t>
      </w:r>
      <w:r w:rsidR="00970BB1" w:rsidRPr="008B5C95">
        <w:t xml:space="preserve">using the Tier 2 NMP </w:t>
      </w:r>
      <w:r w:rsidR="009B0063">
        <w:t>b</w:t>
      </w:r>
      <w:r w:rsidR="00970BB1" w:rsidRPr="008B5C95">
        <w:t>udget spreadsheet</w:t>
      </w:r>
      <w:r w:rsidR="00A24300">
        <w:t xml:space="preserve"> available </w:t>
      </w:r>
      <w:hyperlink r:id="rId10" w:history="1">
        <w:r w:rsidR="00A24300" w:rsidRPr="00A24300">
          <w:rPr>
            <w:rStyle w:val="Hyperlink"/>
            <w:b/>
            <w:i/>
          </w:rPr>
          <w:t>here</w:t>
        </w:r>
      </w:hyperlink>
      <w:r w:rsidR="00E56B7D">
        <w:t xml:space="preserve"> (</w:t>
      </w:r>
      <w:r w:rsidR="009B0063">
        <w:t>Tetra Tech</w:t>
      </w:r>
      <w:r w:rsidR="00E56B7D">
        <w:t>, 2008</w:t>
      </w:r>
      <w:r w:rsidR="009B0063">
        <w:t>).</w:t>
      </w:r>
    </w:p>
    <w:p w:rsidR="009B0063" w:rsidRPr="008B5C95" w:rsidRDefault="009B0063" w:rsidP="00123557"/>
    <w:p w:rsidR="008B5C95" w:rsidRPr="008B5C95" w:rsidRDefault="008B5C95" w:rsidP="008B5C95">
      <w:pPr>
        <w:pStyle w:val="Caption"/>
        <w:keepNext/>
      </w:pPr>
      <w:proofErr w:type="gramStart"/>
      <w:r>
        <w:t xml:space="preserve">Table </w:t>
      </w:r>
      <w:r w:rsidR="0034341E">
        <w:t>4</w:t>
      </w:r>
      <w:r>
        <w:t>.</w:t>
      </w:r>
      <w:proofErr w:type="gramEnd"/>
      <w:r>
        <w:t xml:space="preserve">  Project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1761"/>
        <w:gridCol w:w="1260"/>
        <w:gridCol w:w="2175"/>
        <w:gridCol w:w="2073"/>
      </w:tblGrid>
      <w:tr w:rsidR="008B5C95" w:rsidRPr="00B975A0">
        <w:tc>
          <w:tcPr>
            <w:tcW w:w="2307" w:type="dxa"/>
            <w:shd w:val="clear" w:color="auto" w:fill="D9D9D9"/>
          </w:tcPr>
          <w:p w:rsidR="008B5C95" w:rsidRPr="00B975A0" w:rsidRDefault="008B5C95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Budget Item</w:t>
            </w:r>
          </w:p>
        </w:tc>
        <w:tc>
          <w:tcPr>
            <w:tcW w:w="1761" w:type="dxa"/>
            <w:shd w:val="clear" w:color="auto" w:fill="D9D9D9"/>
          </w:tcPr>
          <w:p w:rsidR="008B5C95" w:rsidRPr="00B975A0" w:rsidRDefault="008B5C95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Total Cost ($)</w:t>
            </w:r>
          </w:p>
        </w:tc>
        <w:tc>
          <w:tcPr>
            <w:tcW w:w="1260" w:type="dxa"/>
            <w:shd w:val="clear" w:color="auto" w:fill="D9D9D9"/>
          </w:tcPr>
          <w:p w:rsidR="008B5C95" w:rsidRPr="00B975A0" w:rsidRDefault="008B5C95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%</w:t>
            </w:r>
          </w:p>
        </w:tc>
        <w:tc>
          <w:tcPr>
            <w:tcW w:w="2175" w:type="dxa"/>
            <w:shd w:val="clear" w:color="auto" w:fill="D9D9D9"/>
          </w:tcPr>
          <w:p w:rsidR="008B5C95" w:rsidRPr="00B975A0" w:rsidRDefault="000A5881" w:rsidP="00B975A0">
            <w:pPr>
              <w:jc w:val="center"/>
              <w:rPr>
                <w:b/>
              </w:rPr>
            </w:pPr>
            <w:r>
              <w:rPr>
                <w:b/>
              </w:rPr>
              <w:t>Funds i</w:t>
            </w:r>
            <w:r w:rsidR="008B5C95" w:rsidRPr="00B975A0">
              <w:rPr>
                <w:b/>
              </w:rPr>
              <w:t>n Hand ($)</w:t>
            </w:r>
          </w:p>
        </w:tc>
        <w:tc>
          <w:tcPr>
            <w:tcW w:w="2073" w:type="dxa"/>
            <w:shd w:val="clear" w:color="auto" w:fill="D9D9D9"/>
          </w:tcPr>
          <w:p w:rsidR="008B5C95" w:rsidRPr="00B975A0" w:rsidRDefault="008B5C95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Funds Needed ($)</w:t>
            </w:r>
          </w:p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Salaries</w:t>
            </w:r>
          </w:p>
        </w:tc>
        <w:tc>
          <w:tcPr>
            <w:tcW w:w="1761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</w:p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Site Establishment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Equipment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Supplies</w:t>
            </w:r>
          </w:p>
        </w:tc>
        <w:tc>
          <w:tcPr>
            <w:tcW w:w="1761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</w:p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Travel/Vehicles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Lab and Data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Site Operation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Printing/Media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970BB1" w:rsidRDefault="008B5C95" w:rsidP="00B975A0">
            <w:pPr>
              <w:rPr>
                <w:bCs/>
              </w:rPr>
            </w:pPr>
            <w:r w:rsidRPr="00970BB1">
              <w:rPr>
                <w:bCs/>
              </w:rPr>
              <w:t>Contracts &amp; Grants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B975A0" w:rsidRDefault="008B5C95" w:rsidP="00B975A0">
            <w:pPr>
              <w:rPr>
                <w:bCs/>
              </w:rPr>
            </w:pPr>
            <w:r w:rsidRPr="00B975A0">
              <w:rPr>
                <w:bCs/>
              </w:rPr>
              <w:t>BMPs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  <w:tr w:rsidR="008B5C95" w:rsidRPr="008B5C95">
        <w:tc>
          <w:tcPr>
            <w:tcW w:w="2307" w:type="dxa"/>
            <w:vAlign w:val="bottom"/>
          </w:tcPr>
          <w:p w:rsidR="008B5C95" w:rsidRPr="00B975A0" w:rsidRDefault="008B5C95" w:rsidP="00B975A0">
            <w:pPr>
              <w:rPr>
                <w:bCs/>
              </w:rPr>
            </w:pPr>
            <w:r w:rsidRPr="00B975A0">
              <w:rPr>
                <w:bCs/>
              </w:rPr>
              <w:t>TOTAL</w:t>
            </w:r>
          </w:p>
        </w:tc>
        <w:tc>
          <w:tcPr>
            <w:tcW w:w="1761" w:type="dxa"/>
          </w:tcPr>
          <w:p w:rsidR="008B5C95" w:rsidRPr="008B5C95" w:rsidRDefault="008B5C95" w:rsidP="00123557"/>
        </w:tc>
        <w:tc>
          <w:tcPr>
            <w:tcW w:w="1260" w:type="dxa"/>
          </w:tcPr>
          <w:p w:rsidR="008B5C95" w:rsidRPr="008B5C95" w:rsidRDefault="008B5C95" w:rsidP="00123557"/>
        </w:tc>
        <w:tc>
          <w:tcPr>
            <w:tcW w:w="2175" w:type="dxa"/>
          </w:tcPr>
          <w:p w:rsidR="008B5C95" w:rsidRPr="008B5C95" w:rsidRDefault="008B5C95" w:rsidP="00123557"/>
        </w:tc>
        <w:tc>
          <w:tcPr>
            <w:tcW w:w="2073" w:type="dxa"/>
          </w:tcPr>
          <w:p w:rsidR="008B5C95" w:rsidRPr="008B5C95" w:rsidRDefault="008B5C95" w:rsidP="00123557"/>
        </w:tc>
      </w:tr>
    </w:tbl>
    <w:p w:rsidR="004A03AF" w:rsidRDefault="004A03AF" w:rsidP="008B5C95"/>
    <w:p w:rsidR="008B5C95" w:rsidRDefault="008B5C95" w:rsidP="008B5C95">
      <w:r>
        <w:t>Budget categories are defined as follows:</w:t>
      </w:r>
    </w:p>
    <w:p w:rsidR="00CF670E" w:rsidRDefault="00CF670E" w:rsidP="008B5C95"/>
    <w:p w:rsidR="00CF670E" w:rsidRDefault="00CF670E" w:rsidP="00CF670E">
      <w:pPr>
        <w:numPr>
          <w:ilvl w:val="0"/>
          <w:numId w:val="5"/>
        </w:numPr>
      </w:pPr>
      <w:r>
        <w:t xml:space="preserve">Salaries:  </w:t>
      </w:r>
      <w:r w:rsidRPr="008B5C95">
        <w:t>All in-house salaries</w:t>
      </w:r>
      <w:r>
        <w:t>.</w:t>
      </w:r>
    </w:p>
    <w:p w:rsidR="00CF670E" w:rsidRDefault="00CF670E" w:rsidP="00CF670E">
      <w:pPr>
        <w:numPr>
          <w:ilvl w:val="0"/>
          <w:numId w:val="5"/>
        </w:numPr>
      </w:pPr>
      <w:r>
        <w:t xml:space="preserve">Site Establishment:  </w:t>
      </w:r>
      <w:r w:rsidRPr="008B5C95">
        <w:t>Site establishment structures plus one-time fee, electricity connection, setup, etc.</w:t>
      </w:r>
    </w:p>
    <w:p w:rsidR="00CF670E" w:rsidRDefault="00CF670E" w:rsidP="00CF670E">
      <w:pPr>
        <w:numPr>
          <w:ilvl w:val="0"/>
          <w:numId w:val="5"/>
        </w:numPr>
      </w:pPr>
      <w:r>
        <w:t xml:space="preserve">Equipment:  </w:t>
      </w:r>
      <w:r w:rsidRPr="008B5C95">
        <w:t>All purchased and rented monitoring and office equipment.</w:t>
      </w:r>
    </w:p>
    <w:p w:rsidR="00CF670E" w:rsidRDefault="00CF670E" w:rsidP="00CF670E">
      <w:pPr>
        <w:numPr>
          <w:ilvl w:val="0"/>
          <w:numId w:val="5"/>
        </w:numPr>
      </w:pPr>
      <w:r>
        <w:t xml:space="preserve">Supplies:  </w:t>
      </w:r>
      <w:r w:rsidRPr="008B5C95">
        <w:t>All monitoring and office supplies.</w:t>
      </w:r>
    </w:p>
    <w:p w:rsidR="00CF670E" w:rsidRDefault="00CF670E" w:rsidP="00CF670E">
      <w:pPr>
        <w:numPr>
          <w:ilvl w:val="0"/>
          <w:numId w:val="5"/>
        </w:numPr>
      </w:pPr>
      <w:r>
        <w:t xml:space="preserve">Travel/Vehicles:  </w:t>
      </w:r>
      <w:r w:rsidRPr="008B5C95">
        <w:t>All in-house use of vehicles for travel, construction, etc.</w:t>
      </w:r>
    </w:p>
    <w:p w:rsidR="00CF670E" w:rsidRDefault="00CF670E" w:rsidP="00CF670E">
      <w:pPr>
        <w:numPr>
          <w:ilvl w:val="0"/>
          <w:numId w:val="5"/>
        </w:numPr>
      </w:pPr>
      <w:r>
        <w:t xml:space="preserve">Lab and Data:  </w:t>
      </w:r>
      <w:r w:rsidRPr="008B5C95">
        <w:t>Annual laboratory analysis plus maps, data, satellite &amp; aerial photography</w:t>
      </w:r>
    </w:p>
    <w:p w:rsidR="00CF670E" w:rsidRDefault="00CF670E" w:rsidP="00CF670E">
      <w:pPr>
        <w:numPr>
          <w:ilvl w:val="0"/>
          <w:numId w:val="5"/>
        </w:numPr>
      </w:pPr>
      <w:r>
        <w:t xml:space="preserve">Site Operation:  </w:t>
      </w:r>
      <w:r w:rsidRPr="008B5C95">
        <w:t>All fuel and power costs to operate sites plus service, repair, and replacements of sites and equipment.</w:t>
      </w:r>
    </w:p>
    <w:p w:rsidR="00CF670E" w:rsidRDefault="00CF670E" w:rsidP="00CF670E">
      <w:pPr>
        <w:numPr>
          <w:ilvl w:val="0"/>
          <w:numId w:val="5"/>
        </w:numPr>
      </w:pPr>
      <w:r>
        <w:t xml:space="preserve">Printing/Media:  </w:t>
      </w:r>
      <w:r w:rsidRPr="008B5C95">
        <w:t>Printing and other report output media (e.g., CD, web).</w:t>
      </w:r>
    </w:p>
    <w:p w:rsidR="00CF670E" w:rsidRDefault="00CF670E" w:rsidP="00CF670E">
      <w:pPr>
        <w:numPr>
          <w:ilvl w:val="0"/>
          <w:numId w:val="5"/>
        </w:numPr>
      </w:pPr>
      <w:r>
        <w:t xml:space="preserve">Contracts &amp; Grants:  </w:t>
      </w:r>
      <w:r w:rsidRPr="008B5C95">
        <w:t>All contracts and grants.</w:t>
      </w:r>
    </w:p>
    <w:p w:rsidR="00CF670E" w:rsidRDefault="00CF670E" w:rsidP="00CF670E">
      <w:pPr>
        <w:numPr>
          <w:ilvl w:val="0"/>
          <w:numId w:val="5"/>
        </w:numPr>
      </w:pPr>
      <w:r>
        <w:t>BMPs:  Practice implementation costs not covered in other categories</w:t>
      </w:r>
      <w:r w:rsidR="009B0063">
        <w:t xml:space="preserve"> (spreadsheet calculates capital plus annual costs)</w:t>
      </w:r>
      <w:r>
        <w:t>.</w:t>
      </w:r>
    </w:p>
    <w:p w:rsidR="00CF670E" w:rsidRDefault="00CF670E" w:rsidP="00CF670E"/>
    <w:p w:rsidR="002D3962" w:rsidRDefault="00CF670E" w:rsidP="008B5C95">
      <w:r>
        <w:lastRenderedPageBreak/>
        <w:t>For the purposes of this application, source of funds is irrelevant.  The key fact</w:t>
      </w:r>
      <w:r w:rsidR="000A5881">
        <w:t>ors are funds needed and funds i</w:t>
      </w:r>
      <w:r>
        <w:t>n hand, regardless of source.</w:t>
      </w:r>
    </w:p>
    <w:p w:rsidR="002D3962" w:rsidRDefault="002D3962" w:rsidP="008B5C95"/>
    <w:p w:rsidR="00CF670E" w:rsidRDefault="004313B2" w:rsidP="008B5C95">
      <w:r>
        <w:rPr>
          <w:b/>
        </w:rPr>
        <w:t>Project Timeline</w:t>
      </w:r>
    </w:p>
    <w:p w:rsidR="004313B2" w:rsidRDefault="004313B2" w:rsidP="008B5C95">
      <w:r>
        <w:t>Tier 2 project timelines are necessarily</w:t>
      </w:r>
      <w:r w:rsidR="00952FEB">
        <w:t xml:space="preserve"> simple, as recorded in Table </w:t>
      </w:r>
      <w:r w:rsidR="0034341E">
        <w:t>5</w:t>
      </w:r>
      <w:r w:rsidR="00952FEB">
        <w:t xml:space="preserve">.  Default requirements are indicated in Table </w:t>
      </w:r>
      <w:r w:rsidR="0034341E">
        <w:t>5</w:t>
      </w:r>
      <w:r w:rsidR="00425385">
        <w:t>.</w:t>
      </w:r>
    </w:p>
    <w:p w:rsidR="004313B2" w:rsidRDefault="004313B2" w:rsidP="008B5C95"/>
    <w:p w:rsidR="00952FEB" w:rsidRDefault="0034341E" w:rsidP="0034341E">
      <w:pPr>
        <w:pStyle w:val="Caption"/>
        <w:keepNext/>
      </w:pPr>
      <w:r>
        <w:t xml:space="preserve">           </w:t>
      </w:r>
      <w:proofErr w:type="gramStart"/>
      <w:r w:rsidR="00952FEB">
        <w:t xml:space="preserve">Table </w:t>
      </w:r>
      <w:r w:rsidR="00B535BC">
        <w:t>5</w:t>
      </w:r>
      <w:r w:rsidR="00952FEB">
        <w:t>.</w:t>
      </w:r>
      <w:proofErr w:type="gramEnd"/>
      <w:r w:rsidR="00952FEB">
        <w:t xml:space="preserve"> Project Timeline</w:t>
      </w:r>
    </w:p>
    <w:tbl>
      <w:tblPr>
        <w:tblW w:w="0" w:type="auto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  <w:gridCol w:w="2430"/>
        <w:gridCol w:w="1278"/>
      </w:tblGrid>
      <w:tr w:rsidR="00A4731A">
        <w:trPr>
          <w:jc w:val="center"/>
        </w:trPr>
        <w:tc>
          <w:tcPr>
            <w:tcW w:w="2358" w:type="dxa"/>
            <w:shd w:val="clear" w:color="auto" w:fill="D9D9D9"/>
          </w:tcPr>
          <w:p w:rsidR="00A4731A" w:rsidRPr="00B975A0" w:rsidRDefault="00A4731A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Activity</w:t>
            </w:r>
          </w:p>
        </w:tc>
        <w:tc>
          <w:tcPr>
            <w:tcW w:w="2250" w:type="dxa"/>
            <w:shd w:val="clear" w:color="auto" w:fill="D9D9D9"/>
          </w:tcPr>
          <w:p w:rsidR="00A4731A" w:rsidRPr="00B975A0" w:rsidRDefault="00A4731A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Year 1</w:t>
            </w:r>
          </w:p>
        </w:tc>
        <w:tc>
          <w:tcPr>
            <w:tcW w:w="2430" w:type="dxa"/>
            <w:shd w:val="clear" w:color="auto" w:fill="D9D9D9"/>
          </w:tcPr>
          <w:p w:rsidR="00A4731A" w:rsidRPr="00B975A0" w:rsidRDefault="00A4731A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Year 2</w:t>
            </w:r>
          </w:p>
        </w:tc>
        <w:tc>
          <w:tcPr>
            <w:tcW w:w="1278" w:type="dxa"/>
            <w:shd w:val="clear" w:color="auto" w:fill="D9D9D9"/>
          </w:tcPr>
          <w:p w:rsidR="00A4731A" w:rsidRPr="00B975A0" w:rsidRDefault="00A4731A" w:rsidP="00B975A0">
            <w:pPr>
              <w:jc w:val="center"/>
              <w:rPr>
                <w:b/>
              </w:rPr>
            </w:pPr>
            <w:r w:rsidRPr="00B975A0">
              <w:rPr>
                <w:b/>
              </w:rPr>
              <w:t>Year 3</w:t>
            </w:r>
          </w:p>
        </w:tc>
      </w:tr>
      <w:tr w:rsidR="00A4731A">
        <w:trPr>
          <w:jc w:val="center"/>
        </w:trPr>
        <w:tc>
          <w:tcPr>
            <w:tcW w:w="2358" w:type="dxa"/>
          </w:tcPr>
          <w:p w:rsidR="00A4731A" w:rsidRDefault="00A4731A" w:rsidP="008B5C95">
            <w:r>
              <w:t>WQ Monitoring</w:t>
            </w:r>
          </w:p>
        </w:tc>
        <w:tc>
          <w:tcPr>
            <w:tcW w:w="2250" w:type="dxa"/>
          </w:tcPr>
          <w:p w:rsidR="00A4731A" w:rsidRDefault="00A4731A" w:rsidP="00B975A0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A4731A" w:rsidRDefault="00A4731A" w:rsidP="00B975A0">
            <w:pPr>
              <w:jc w:val="center"/>
            </w:pPr>
            <w:r w:rsidRPr="00EB3CB8">
              <w:t>X</w:t>
            </w:r>
          </w:p>
        </w:tc>
        <w:tc>
          <w:tcPr>
            <w:tcW w:w="1278" w:type="dxa"/>
          </w:tcPr>
          <w:p w:rsidR="00A4731A" w:rsidRDefault="00A4731A" w:rsidP="00B975A0">
            <w:pPr>
              <w:jc w:val="center"/>
            </w:pPr>
            <w:r w:rsidRPr="00EB3CB8">
              <w:t>X</w:t>
            </w:r>
          </w:p>
        </w:tc>
      </w:tr>
      <w:tr w:rsidR="00A4731A">
        <w:trPr>
          <w:jc w:val="center"/>
        </w:trPr>
        <w:tc>
          <w:tcPr>
            <w:tcW w:w="2358" w:type="dxa"/>
          </w:tcPr>
          <w:p w:rsidR="00A4731A" w:rsidRDefault="00A4731A" w:rsidP="008B5C95">
            <w:r>
              <w:t>LU/LT Monitoring</w:t>
            </w:r>
          </w:p>
        </w:tc>
        <w:tc>
          <w:tcPr>
            <w:tcW w:w="2250" w:type="dxa"/>
          </w:tcPr>
          <w:p w:rsidR="00A4731A" w:rsidRDefault="00A4731A" w:rsidP="00B975A0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A4731A" w:rsidRDefault="00A4731A" w:rsidP="00B975A0">
            <w:pPr>
              <w:jc w:val="center"/>
            </w:pPr>
            <w:r w:rsidRPr="00EB3CB8">
              <w:t>X</w:t>
            </w:r>
          </w:p>
        </w:tc>
        <w:tc>
          <w:tcPr>
            <w:tcW w:w="1278" w:type="dxa"/>
          </w:tcPr>
          <w:p w:rsidR="00A4731A" w:rsidRDefault="00A4731A" w:rsidP="00B975A0">
            <w:pPr>
              <w:jc w:val="center"/>
            </w:pPr>
            <w:r w:rsidRPr="00EB3CB8">
              <w:t>X</w:t>
            </w:r>
          </w:p>
        </w:tc>
      </w:tr>
      <w:tr w:rsidR="00976B78">
        <w:trPr>
          <w:jc w:val="center"/>
        </w:trPr>
        <w:tc>
          <w:tcPr>
            <w:tcW w:w="2358" w:type="dxa"/>
          </w:tcPr>
          <w:p w:rsidR="00976B78" w:rsidRDefault="00976B78" w:rsidP="00B975A0">
            <w:r>
              <w:t>BMP Implementation</w:t>
            </w:r>
          </w:p>
        </w:tc>
        <w:tc>
          <w:tcPr>
            <w:tcW w:w="4680" w:type="dxa"/>
            <w:gridSpan w:val="2"/>
          </w:tcPr>
          <w:p w:rsidR="00976B78" w:rsidRDefault="00976B78" w:rsidP="00B975A0">
            <w:pPr>
              <w:jc w:val="center"/>
            </w:pPr>
            <w:r>
              <w:t>(1</w:t>
            </w:r>
            <w:r w:rsidRPr="00976B78">
              <w:rPr>
                <w:vertAlign w:val="superscript"/>
              </w:rPr>
              <w:t>st</w:t>
            </w:r>
            <w:r>
              <w:t xml:space="preserve"> or 2</w:t>
            </w:r>
            <w:r w:rsidRPr="00976B78">
              <w:rPr>
                <w:vertAlign w:val="superscript"/>
              </w:rPr>
              <w:t>nd</w:t>
            </w:r>
            <w:r>
              <w:t xml:space="preserve"> Year depending upon BMP type)</w:t>
            </w:r>
          </w:p>
        </w:tc>
        <w:tc>
          <w:tcPr>
            <w:tcW w:w="1278" w:type="dxa"/>
          </w:tcPr>
          <w:p w:rsidR="00976B78" w:rsidRDefault="00976B78" w:rsidP="00B975A0">
            <w:pPr>
              <w:jc w:val="center"/>
            </w:pPr>
          </w:p>
        </w:tc>
      </w:tr>
      <w:tr w:rsidR="00A4731A">
        <w:trPr>
          <w:jc w:val="center"/>
        </w:trPr>
        <w:tc>
          <w:tcPr>
            <w:tcW w:w="2358" w:type="dxa"/>
          </w:tcPr>
          <w:p w:rsidR="00A4731A" w:rsidRDefault="000A5881" w:rsidP="00B975A0">
            <w:r>
              <w:t>Semi-Annual</w:t>
            </w:r>
            <w:r w:rsidR="00A4731A">
              <w:t xml:space="preserve"> Reports</w:t>
            </w:r>
          </w:p>
        </w:tc>
        <w:tc>
          <w:tcPr>
            <w:tcW w:w="2250" w:type="dxa"/>
          </w:tcPr>
          <w:p w:rsidR="00A4731A" w:rsidRDefault="00A4731A" w:rsidP="00B975A0">
            <w:pPr>
              <w:jc w:val="center"/>
            </w:pPr>
            <w:r w:rsidRPr="006943AC">
              <w:t>X</w:t>
            </w:r>
          </w:p>
        </w:tc>
        <w:tc>
          <w:tcPr>
            <w:tcW w:w="2430" w:type="dxa"/>
          </w:tcPr>
          <w:p w:rsidR="00A4731A" w:rsidRDefault="00A4731A" w:rsidP="00B975A0">
            <w:pPr>
              <w:jc w:val="center"/>
            </w:pPr>
            <w:r w:rsidRPr="006943AC">
              <w:t>X</w:t>
            </w:r>
          </w:p>
        </w:tc>
        <w:tc>
          <w:tcPr>
            <w:tcW w:w="1278" w:type="dxa"/>
          </w:tcPr>
          <w:p w:rsidR="00A4731A" w:rsidRDefault="00A4731A" w:rsidP="00B975A0">
            <w:pPr>
              <w:jc w:val="center"/>
            </w:pPr>
            <w:r w:rsidRPr="006943AC">
              <w:t>X</w:t>
            </w:r>
          </w:p>
        </w:tc>
      </w:tr>
      <w:tr w:rsidR="00A4731A">
        <w:trPr>
          <w:jc w:val="center"/>
        </w:trPr>
        <w:tc>
          <w:tcPr>
            <w:tcW w:w="2358" w:type="dxa"/>
          </w:tcPr>
          <w:p w:rsidR="00A4731A" w:rsidRDefault="00A4731A" w:rsidP="00B975A0">
            <w:r>
              <w:t>Annual Report</w:t>
            </w:r>
          </w:p>
        </w:tc>
        <w:tc>
          <w:tcPr>
            <w:tcW w:w="2250" w:type="dxa"/>
          </w:tcPr>
          <w:p w:rsidR="00A4731A" w:rsidRDefault="00A4731A" w:rsidP="00B975A0">
            <w:pPr>
              <w:jc w:val="center"/>
            </w:pPr>
            <w:r w:rsidRPr="006943AC">
              <w:t>X</w:t>
            </w:r>
          </w:p>
        </w:tc>
        <w:tc>
          <w:tcPr>
            <w:tcW w:w="2430" w:type="dxa"/>
          </w:tcPr>
          <w:p w:rsidR="00A4731A" w:rsidRDefault="00A4731A" w:rsidP="00B975A0">
            <w:pPr>
              <w:jc w:val="center"/>
            </w:pPr>
            <w:r w:rsidRPr="006943AC">
              <w:t>X</w:t>
            </w:r>
          </w:p>
        </w:tc>
        <w:tc>
          <w:tcPr>
            <w:tcW w:w="1278" w:type="dxa"/>
          </w:tcPr>
          <w:p w:rsidR="00A4731A" w:rsidRDefault="00A4731A" w:rsidP="00B975A0">
            <w:pPr>
              <w:jc w:val="center"/>
            </w:pPr>
          </w:p>
        </w:tc>
      </w:tr>
      <w:tr w:rsidR="00A4731A">
        <w:trPr>
          <w:jc w:val="center"/>
        </w:trPr>
        <w:tc>
          <w:tcPr>
            <w:tcW w:w="2358" w:type="dxa"/>
          </w:tcPr>
          <w:p w:rsidR="00A4731A" w:rsidRDefault="00A4731A" w:rsidP="00B975A0">
            <w:r>
              <w:t>Final Report</w:t>
            </w:r>
          </w:p>
        </w:tc>
        <w:tc>
          <w:tcPr>
            <w:tcW w:w="2250" w:type="dxa"/>
          </w:tcPr>
          <w:p w:rsidR="00A4731A" w:rsidRDefault="00A4731A" w:rsidP="00B975A0">
            <w:pPr>
              <w:jc w:val="center"/>
            </w:pPr>
          </w:p>
        </w:tc>
        <w:tc>
          <w:tcPr>
            <w:tcW w:w="2430" w:type="dxa"/>
          </w:tcPr>
          <w:p w:rsidR="00A4731A" w:rsidRDefault="00A4731A" w:rsidP="00B975A0">
            <w:pPr>
              <w:jc w:val="center"/>
            </w:pPr>
          </w:p>
        </w:tc>
        <w:tc>
          <w:tcPr>
            <w:tcW w:w="1278" w:type="dxa"/>
          </w:tcPr>
          <w:p w:rsidR="00A4731A" w:rsidRDefault="009B0063" w:rsidP="00B975A0">
            <w:pPr>
              <w:jc w:val="center"/>
            </w:pPr>
            <w:r w:rsidRPr="006943AC">
              <w:t>X</w:t>
            </w:r>
          </w:p>
        </w:tc>
      </w:tr>
    </w:tbl>
    <w:p w:rsidR="004313B2" w:rsidRDefault="004313B2" w:rsidP="008B5C95"/>
    <w:p w:rsidR="000502B4" w:rsidRDefault="000502B4" w:rsidP="008B5C95"/>
    <w:p w:rsidR="000502B4" w:rsidRPr="006C725F" w:rsidRDefault="000502B4" w:rsidP="008B5C95">
      <w:pPr>
        <w:rPr>
          <w:b/>
        </w:rPr>
      </w:pPr>
      <w:r w:rsidRPr="006C725F">
        <w:rPr>
          <w:b/>
        </w:rPr>
        <w:t>References:</w:t>
      </w:r>
    </w:p>
    <w:p w:rsidR="000502B4" w:rsidRDefault="000502B4" w:rsidP="000502B4"/>
    <w:p w:rsidR="000502B4" w:rsidRPr="00170090" w:rsidRDefault="000502B4" w:rsidP="00170090">
      <w:pPr>
        <w:autoSpaceDE w:val="0"/>
        <w:autoSpaceDN w:val="0"/>
        <w:adjustRightInd w:val="0"/>
      </w:pPr>
      <w:proofErr w:type="spellStart"/>
      <w:r w:rsidRPr="000502B4">
        <w:t>Rathbun</w:t>
      </w:r>
      <w:proofErr w:type="spellEnd"/>
      <w:r w:rsidRPr="000502B4">
        <w:t xml:space="preserve">, J. 2007. </w:t>
      </w:r>
      <w:proofErr w:type="gramStart"/>
      <w:r w:rsidRPr="00170090">
        <w:rPr>
          <w:szCs w:val="32"/>
        </w:rPr>
        <w:t xml:space="preserve">Quality </w:t>
      </w:r>
      <w:r w:rsidR="00170090" w:rsidRPr="00170090">
        <w:rPr>
          <w:szCs w:val="32"/>
        </w:rPr>
        <w:t>a</w:t>
      </w:r>
      <w:r w:rsidRPr="00170090">
        <w:rPr>
          <w:szCs w:val="32"/>
        </w:rPr>
        <w:t xml:space="preserve">ssurance </w:t>
      </w:r>
      <w:r w:rsidR="00170090" w:rsidRPr="00170090">
        <w:rPr>
          <w:szCs w:val="32"/>
        </w:rPr>
        <w:t>p</w:t>
      </w:r>
      <w:r w:rsidRPr="00170090">
        <w:rPr>
          <w:szCs w:val="32"/>
        </w:rPr>
        <w:t xml:space="preserve">roject </w:t>
      </w:r>
      <w:r w:rsidR="00170090" w:rsidRPr="00170090">
        <w:rPr>
          <w:szCs w:val="32"/>
        </w:rPr>
        <w:t>p</w:t>
      </w:r>
      <w:r w:rsidRPr="00170090">
        <w:rPr>
          <w:szCs w:val="32"/>
        </w:rPr>
        <w:t xml:space="preserve">lan for the Central Mine Site Stamp Sand </w:t>
      </w:r>
      <w:r w:rsidR="00170090" w:rsidRPr="00170090">
        <w:rPr>
          <w:szCs w:val="32"/>
        </w:rPr>
        <w:t>r</w:t>
      </w:r>
      <w:r w:rsidRPr="00170090">
        <w:rPr>
          <w:szCs w:val="32"/>
        </w:rPr>
        <w:t xml:space="preserve">emediation </w:t>
      </w:r>
      <w:r w:rsidR="00170090" w:rsidRPr="00170090">
        <w:rPr>
          <w:szCs w:val="32"/>
        </w:rPr>
        <w:t>p</w:t>
      </w:r>
      <w:r w:rsidRPr="00170090">
        <w:rPr>
          <w:szCs w:val="32"/>
        </w:rPr>
        <w:t xml:space="preserve">roject </w:t>
      </w:r>
      <w:r w:rsidR="00170090" w:rsidRPr="00170090">
        <w:rPr>
          <w:szCs w:val="32"/>
        </w:rPr>
        <w:t>v</w:t>
      </w:r>
      <w:r w:rsidRPr="00170090">
        <w:rPr>
          <w:szCs w:val="32"/>
        </w:rPr>
        <w:t xml:space="preserve">ersion 1; August 8, 2007, </w:t>
      </w:r>
      <w:r w:rsidRPr="00170090">
        <w:t>Michigan Department of Environmental Quality Water Bureau – Nonpoint Source Unit Lansing, MI.</w:t>
      </w:r>
      <w:proofErr w:type="gramEnd"/>
    </w:p>
    <w:p w:rsidR="000E6472" w:rsidRPr="00170090" w:rsidRDefault="000E6472" w:rsidP="000502B4">
      <w:pPr>
        <w:autoSpaceDE w:val="0"/>
        <w:autoSpaceDN w:val="0"/>
        <w:adjustRightInd w:val="0"/>
        <w:ind w:left="720" w:hanging="720"/>
      </w:pPr>
    </w:p>
    <w:p w:rsidR="000E6472" w:rsidRPr="00170090" w:rsidRDefault="000E6472" w:rsidP="000E6472">
      <w:pPr>
        <w:pStyle w:val="NoSpacing"/>
        <w:rPr>
          <w:rFonts w:ascii="Times New Roman" w:hAnsi="Times New Roman"/>
          <w:szCs w:val="24"/>
        </w:rPr>
      </w:pPr>
      <w:proofErr w:type="gramStart"/>
      <w:r w:rsidRPr="00170090">
        <w:rPr>
          <w:rFonts w:ascii="Times New Roman" w:hAnsi="Times New Roman"/>
          <w:szCs w:val="24"/>
        </w:rPr>
        <w:t xml:space="preserve">Spooner, J., R.P. Maas, M.D. </w:t>
      </w:r>
      <w:proofErr w:type="spellStart"/>
      <w:r w:rsidRPr="00170090">
        <w:rPr>
          <w:rFonts w:ascii="Times New Roman" w:hAnsi="Times New Roman"/>
          <w:szCs w:val="24"/>
        </w:rPr>
        <w:t>Smolen</w:t>
      </w:r>
      <w:proofErr w:type="spellEnd"/>
      <w:r w:rsidRPr="00170090">
        <w:rPr>
          <w:rFonts w:ascii="Times New Roman" w:hAnsi="Times New Roman"/>
          <w:szCs w:val="24"/>
        </w:rPr>
        <w:t xml:space="preserve"> and C.A. Jamieson.</w:t>
      </w:r>
      <w:proofErr w:type="gramEnd"/>
      <w:r w:rsidRPr="00170090">
        <w:rPr>
          <w:rFonts w:ascii="Times New Roman" w:hAnsi="Times New Roman"/>
          <w:szCs w:val="24"/>
        </w:rPr>
        <w:t xml:space="preserve"> 1987. Increasing </w:t>
      </w:r>
      <w:r w:rsidR="00170090" w:rsidRPr="00170090">
        <w:rPr>
          <w:rFonts w:ascii="Times New Roman" w:hAnsi="Times New Roman"/>
          <w:szCs w:val="24"/>
        </w:rPr>
        <w:t>the sensitivity of nonpoint source control monitoring program</w:t>
      </w:r>
      <w:r w:rsidRPr="00170090">
        <w:rPr>
          <w:rFonts w:ascii="Times New Roman" w:hAnsi="Times New Roman"/>
          <w:szCs w:val="24"/>
        </w:rPr>
        <w:t xml:space="preserve">s. p. 243-257. In: Symposium </w:t>
      </w:r>
      <w:r w:rsidR="00CB3332">
        <w:rPr>
          <w:rFonts w:ascii="Times New Roman" w:hAnsi="Times New Roman"/>
          <w:szCs w:val="24"/>
        </w:rPr>
        <w:t>o</w:t>
      </w:r>
      <w:r w:rsidRPr="00170090">
        <w:rPr>
          <w:rFonts w:ascii="Times New Roman" w:hAnsi="Times New Roman"/>
          <w:szCs w:val="24"/>
        </w:rPr>
        <w:t xml:space="preserve">n Monitoring, Modeling, and Mediating Water Quality. </w:t>
      </w:r>
      <w:proofErr w:type="gramStart"/>
      <w:r w:rsidRPr="00170090">
        <w:rPr>
          <w:rFonts w:ascii="Times New Roman" w:hAnsi="Times New Roman"/>
          <w:szCs w:val="24"/>
        </w:rPr>
        <w:t>American Water Resources Association, Bethesda, Maryland.</w:t>
      </w:r>
      <w:proofErr w:type="gramEnd"/>
      <w:r w:rsidRPr="00170090">
        <w:rPr>
          <w:rFonts w:ascii="Times New Roman" w:hAnsi="Times New Roman"/>
          <w:szCs w:val="24"/>
        </w:rPr>
        <w:t xml:space="preserve"> 710p.</w:t>
      </w:r>
    </w:p>
    <w:p w:rsidR="000E6472" w:rsidRPr="00170090" w:rsidRDefault="000E6472" w:rsidP="000E6472">
      <w:pPr>
        <w:pStyle w:val="NoSpacing"/>
        <w:rPr>
          <w:rFonts w:ascii="Times New Roman" w:hAnsi="Times New Roman"/>
          <w:szCs w:val="24"/>
        </w:rPr>
      </w:pPr>
    </w:p>
    <w:p w:rsidR="000E6472" w:rsidRPr="00170090" w:rsidRDefault="000E6472" w:rsidP="000E6472">
      <w:pPr>
        <w:pStyle w:val="NoSpacing"/>
        <w:rPr>
          <w:rFonts w:ascii="Times New Roman" w:hAnsi="Times New Roman"/>
          <w:szCs w:val="24"/>
        </w:rPr>
      </w:pPr>
      <w:r w:rsidRPr="00170090">
        <w:rPr>
          <w:rFonts w:ascii="Times New Roman" w:hAnsi="Times New Roman"/>
          <w:szCs w:val="24"/>
        </w:rPr>
        <w:t xml:space="preserve">Spooner, J., S.L. </w:t>
      </w:r>
      <w:proofErr w:type="spellStart"/>
      <w:r w:rsidRPr="00170090">
        <w:rPr>
          <w:rFonts w:ascii="Times New Roman" w:hAnsi="Times New Roman"/>
          <w:szCs w:val="24"/>
        </w:rPr>
        <w:t>Brichford</w:t>
      </w:r>
      <w:proofErr w:type="spellEnd"/>
      <w:r w:rsidRPr="00170090">
        <w:rPr>
          <w:rFonts w:ascii="Times New Roman" w:hAnsi="Times New Roman"/>
          <w:szCs w:val="24"/>
        </w:rPr>
        <w:t xml:space="preserve">, D.A. Dickey, R.P. Maas, M.D. </w:t>
      </w:r>
      <w:proofErr w:type="spellStart"/>
      <w:r w:rsidRPr="00170090">
        <w:rPr>
          <w:rFonts w:ascii="Times New Roman" w:hAnsi="Times New Roman"/>
          <w:szCs w:val="24"/>
        </w:rPr>
        <w:t>Smolen</w:t>
      </w:r>
      <w:proofErr w:type="spellEnd"/>
      <w:r w:rsidRPr="00170090">
        <w:rPr>
          <w:rFonts w:ascii="Times New Roman" w:hAnsi="Times New Roman"/>
          <w:szCs w:val="24"/>
        </w:rPr>
        <w:t>, G.J. Ritter an</w:t>
      </w:r>
      <w:bookmarkStart w:id="0" w:name="_GoBack"/>
      <w:bookmarkEnd w:id="0"/>
      <w:r w:rsidRPr="00170090">
        <w:rPr>
          <w:rFonts w:ascii="Times New Roman" w:hAnsi="Times New Roman"/>
          <w:szCs w:val="24"/>
        </w:rPr>
        <w:t xml:space="preserve">d E.G. </w:t>
      </w:r>
      <w:proofErr w:type="spellStart"/>
      <w:r w:rsidRPr="00170090">
        <w:rPr>
          <w:rFonts w:ascii="Times New Roman" w:hAnsi="Times New Roman"/>
          <w:szCs w:val="24"/>
        </w:rPr>
        <w:t>Flaig</w:t>
      </w:r>
      <w:proofErr w:type="spellEnd"/>
      <w:r w:rsidRPr="00170090">
        <w:rPr>
          <w:rFonts w:ascii="Times New Roman" w:hAnsi="Times New Roman"/>
          <w:szCs w:val="24"/>
        </w:rPr>
        <w:t xml:space="preserve">. 1988. Determining the </w:t>
      </w:r>
      <w:r w:rsidR="00170090" w:rsidRPr="00170090">
        <w:rPr>
          <w:rFonts w:ascii="Times New Roman" w:hAnsi="Times New Roman"/>
          <w:szCs w:val="24"/>
        </w:rPr>
        <w:t xml:space="preserve">sensitivity of the water quality monitoring program </w:t>
      </w:r>
      <w:r w:rsidRPr="00170090">
        <w:rPr>
          <w:rFonts w:ascii="Times New Roman" w:hAnsi="Times New Roman"/>
          <w:szCs w:val="24"/>
        </w:rPr>
        <w:t xml:space="preserve">in the Taylor Creek-Nubbin Slough, Florida </w:t>
      </w:r>
      <w:r w:rsidR="00170090" w:rsidRPr="00170090">
        <w:rPr>
          <w:rFonts w:ascii="Times New Roman" w:hAnsi="Times New Roman"/>
          <w:szCs w:val="24"/>
        </w:rPr>
        <w:t>p</w:t>
      </w:r>
      <w:r w:rsidRPr="00170090">
        <w:rPr>
          <w:rFonts w:ascii="Times New Roman" w:hAnsi="Times New Roman"/>
          <w:szCs w:val="24"/>
        </w:rPr>
        <w:t>roject. Lake and Reservoir Management, 4(2):113- 124.</w:t>
      </w:r>
    </w:p>
    <w:p w:rsidR="000E6472" w:rsidRPr="00170090" w:rsidRDefault="000E6472" w:rsidP="000502B4">
      <w:pPr>
        <w:autoSpaceDE w:val="0"/>
        <w:autoSpaceDN w:val="0"/>
        <w:adjustRightInd w:val="0"/>
        <w:ind w:left="720" w:hanging="720"/>
      </w:pPr>
    </w:p>
    <w:p w:rsidR="00A9088A" w:rsidRPr="00170090" w:rsidRDefault="009B0063" w:rsidP="00170090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170090">
        <w:t>Tetra Tech</w:t>
      </w:r>
      <w:r w:rsidR="00E56B7D" w:rsidRPr="00170090">
        <w:t>. 2008.</w:t>
      </w:r>
      <w:proofErr w:type="gramEnd"/>
      <w:r w:rsidR="00E56B7D" w:rsidRPr="00170090">
        <w:t xml:space="preserve"> Tier 2 </w:t>
      </w:r>
      <w:r w:rsidR="00170090" w:rsidRPr="00170090">
        <w:t>national monitoring program project cost estimation spreadsheet</w:t>
      </w:r>
      <w:r w:rsidR="00E56B7D" w:rsidRPr="00170090">
        <w:t xml:space="preserve">, U.S. Environmental </w:t>
      </w:r>
      <w:r w:rsidR="00E56B7D" w:rsidRPr="00170090">
        <w:rPr>
          <w:color w:val="000000" w:themeColor="text1"/>
        </w:rPr>
        <w:t>Protection Agency, Washington, DC.</w:t>
      </w:r>
      <w:r w:rsidR="00A9088A" w:rsidRPr="00170090">
        <w:rPr>
          <w:color w:val="000000" w:themeColor="text1"/>
        </w:rPr>
        <w:t xml:space="preserve"> </w:t>
      </w:r>
    </w:p>
    <w:p w:rsidR="00273E3D" w:rsidRPr="00170090" w:rsidRDefault="00273E3D" w:rsidP="00170090">
      <w:pPr>
        <w:autoSpaceDE w:val="0"/>
        <w:autoSpaceDN w:val="0"/>
        <w:adjustRightInd w:val="0"/>
        <w:rPr>
          <w:color w:val="000000" w:themeColor="text1"/>
          <w:szCs w:val="32"/>
        </w:rPr>
      </w:pPr>
    </w:p>
    <w:p w:rsidR="00E56B7D" w:rsidRPr="00170090" w:rsidRDefault="00273E3D" w:rsidP="00170090">
      <w:pPr>
        <w:autoSpaceDE w:val="0"/>
        <w:autoSpaceDN w:val="0"/>
        <w:adjustRightInd w:val="0"/>
        <w:rPr>
          <w:color w:val="000000" w:themeColor="text1"/>
          <w:szCs w:val="32"/>
        </w:rPr>
      </w:pPr>
      <w:proofErr w:type="gramStart"/>
      <w:r w:rsidRPr="00170090">
        <w:rPr>
          <w:iCs/>
          <w:color w:val="000000" w:themeColor="text1"/>
        </w:rPr>
        <w:t>Tetra Tech. 2011.</w:t>
      </w:r>
      <w:proofErr w:type="gramEnd"/>
      <w:r w:rsidRPr="00170090">
        <w:rPr>
          <w:iCs/>
          <w:color w:val="000000" w:themeColor="text1"/>
        </w:rPr>
        <w:t xml:space="preserve"> </w:t>
      </w:r>
      <w:proofErr w:type="gramStart"/>
      <w:r w:rsidRPr="00170090">
        <w:rPr>
          <w:color w:val="000000" w:themeColor="text1"/>
        </w:rPr>
        <w:t>Minimum detectable change analysis, Tech Notes 7, XX 2011.</w:t>
      </w:r>
      <w:proofErr w:type="gramEnd"/>
      <w:r w:rsidRPr="00170090">
        <w:rPr>
          <w:color w:val="000000" w:themeColor="text1"/>
        </w:rPr>
        <w:t xml:space="preserve"> </w:t>
      </w:r>
      <w:proofErr w:type="gramStart"/>
      <w:r w:rsidRPr="00170090">
        <w:rPr>
          <w:color w:val="000000" w:themeColor="text1"/>
        </w:rPr>
        <w:t>Developed for U.S. Environmental Protection Agency by Tetra Tech, Inc., Fairfax, VA</w:t>
      </w:r>
      <w:r w:rsidR="00A008BD">
        <w:rPr>
          <w:color w:val="000000" w:themeColor="text1"/>
        </w:rPr>
        <w:t>.</w:t>
      </w:r>
      <w:proofErr w:type="gramEnd"/>
    </w:p>
    <w:sectPr w:rsidR="00E56B7D" w:rsidRPr="00170090" w:rsidSect="00BD6D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44" w:rsidRDefault="009A4C44" w:rsidP="00A9088A">
      <w:r>
        <w:separator/>
      </w:r>
    </w:p>
  </w:endnote>
  <w:endnote w:type="continuationSeparator" w:id="0">
    <w:p w:rsidR="009A4C44" w:rsidRDefault="009A4C44" w:rsidP="00A9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8A" w:rsidRDefault="00DD3E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332">
      <w:rPr>
        <w:noProof/>
      </w:rPr>
      <w:t>8</w:t>
    </w:r>
    <w:r>
      <w:rPr>
        <w:noProof/>
      </w:rPr>
      <w:fldChar w:fldCharType="end"/>
    </w:r>
  </w:p>
  <w:p w:rsidR="00A9088A" w:rsidRDefault="00A90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44" w:rsidRDefault="009A4C44" w:rsidP="00A9088A">
      <w:r>
        <w:separator/>
      </w:r>
    </w:p>
  </w:footnote>
  <w:footnote w:type="continuationSeparator" w:id="0">
    <w:p w:rsidR="009A4C44" w:rsidRDefault="009A4C44" w:rsidP="00A9088A">
      <w:r>
        <w:continuationSeparator/>
      </w:r>
    </w:p>
  </w:footnote>
  <w:footnote w:id="1">
    <w:p w:rsidR="003B283C" w:rsidRDefault="003B283C" w:rsidP="003B283C">
      <w:pPr>
        <w:pStyle w:val="FootnoteText"/>
      </w:pPr>
      <w:r>
        <w:rPr>
          <w:rStyle w:val="FootnoteReference"/>
        </w:rPr>
        <w:footnoteRef/>
      </w:r>
      <w:r>
        <w:t xml:space="preserve"> This is a 2-sided t-test, so t for 38d.f. and p=0.025 (0.05/2) is used in the calculation.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170"/>
    <w:multiLevelType w:val="hybridMultilevel"/>
    <w:tmpl w:val="A216C48A"/>
    <w:lvl w:ilvl="0" w:tplc="F8FA3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94436"/>
    <w:multiLevelType w:val="hybridMultilevel"/>
    <w:tmpl w:val="18C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3DCC"/>
    <w:multiLevelType w:val="multilevel"/>
    <w:tmpl w:val="CD1683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95182"/>
    <w:multiLevelType w:val="hybridMultilevel"/>
    <w:tmpl w:val="67F45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0137E"/>
    <w:multiLevelType w:val="hybridMultilevel"/>
    <w:tmpl w:val="CD16835A"/>
    <w:lvl w:ilvl="0" w:tplc="F5DCB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8551F"/>
    <w:multiLevelType w:val="hybridMultilevel"/>
    <w:tmpl w:val="7AC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1D5D"/>
    <w:multiLevelType w:val="hybridMultilevel"/>
    <w:tmpl w:val="62BEA61E"/>
    <w:lvl w:ilvl="0" w:tplc="7B9800D6">
      <w:start w:val="1"/>
      <w:numFmt w:val="bullet"/>
      <w:lvlText w:val="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4"/>
    <w:rsid w:val="00004223"/>
    <w:rsid w:val="000046DF"/>
    <w:rsid w:val="000176B0"/>
    <w:rsid w:val="000502B4"/>
    <w:rsid w:val="00061D03"/>
    <w:rsid w:val="000635AB"/>
    <w:rsid w:val="00082C8D"/>
    <w:rsid w:val="0009689F"/>
    <w:rsid w:val="000A5805"/>
    <w:rsid w:val="000A5881"/>
    <w:rsid w:val="000E6472"/>
    <w:rsid w:val="000F614D"/>
    <w:rsid w:val="001170B9"/>
    <w:rsid w:val="00123002"/>
    <w:rsid w:val="00123557"/>
    <w:rsid w:val="001332DC"/>
    <w:rsid w:val="00153FA4"/>
    <w:rsid w:val="0016076F"/>
    <w:rsid w:val="00170090"/>
    <w:rsid w:val="001747A2"/>
    <w:rsid w:val="001A692E"/>
    <w:rsid w:val="001B14CA"/>
    <w:rsid w:val="001F4346"/>
    <w:rsid w:val="00227454"/>
    <w:rsid w:val="00257002"/>
    <w:rsid w:val="00265C50"/>
    <w:rsid w:val="00273E3D"/>
    <w:rsid w:val="00286405"/>
    <w:rsid w:val="002D14E0"/>
    <w:rsid w:val="002D3962"/>
    <w:rsid w:val="002E177F"/>
    <w:rsid w:val="002E559F"/>
    <w:rsid w:val="002F69A5"/>
    <w:rsid w:val="0034341E"/>
    <w:rsid w:val="003538EC"/>
    <w:rsid w:val="00362E9C"/>
    <w:rsid w:val="003B283C"/>
    <w:rsid w:val="004160D1"/>
    <w:rsid w:val="00425385"/>
    <w:rsid w:val="004313B2"/>
    <w:rsid w:val="00485469"/>
    <w:rsid w:val="0048607A"/>
    <w:rsid w:val="004A03AF"/>
    <w:rsid w:val="004F74C4"/>
    <w:rsid w:val="00510D83"/>
    <w:rsid w:val="00537ABA"/>
    <w:rsid w:val="00583F7C"/>
    <w:rsid w:val="005A28C1"/>
    <w:rsid w:val="005E2AAF"/>
    <w:rsid w:val="006B5D86"/>
    <w:rsid w:val="006C725F"/>
    <w:rsid w:val="006C7633"/>
    <w:rsid w:val="006D23F4"/>
    <w:rsid w:val="006E4412"/>
    <w:rsid w:val="007453D4"/>
    <w:rsid w:val="00751AA6"/>
    <w:rsid w:val="007629BF"/>
    <w:rsid w:val="00765469"/>
    <w:rsid w:val="007A7C74"/>
    <w:rsid w:val="007D57C8"/>
    <w:rsid w:val="0080622E"/>
    <w:rsid w:val="00835ECD"/>
    <w:rsid w:val="008417AE"/>
    <w:rsid w:val="00882D8D"/>
    <w:rsid w:val="008A1A54"/>
    <w:rsid w:val="008A2187"/>
    <w:rsid w:val="008A6383"/>
    <w:rsid w:val="008B5C95"/>
    <w:rsid w:val="009168D9"/>
    <w:rsid w:val="00952FEB"/>
    <w:rsid w:val="00970BB1"/>
    <w:rsid w:val="00976B78"/>
    <w:rsid w:val="009942F7"/>
    <w:rsid w:val="00996584"/>
    <w:rsid w:val="00997287"/>
    <w:rsid w:val="009A4C44"/>
    <w:rsid w:val="009B0063"/>
    <w:rsid w:val="009E730B"/>
    <w:rsid w:val="00A008BD"/>
    <w:rsid w:val="00A05690"/>
    <w:rsid w:val="00A24300"/>
    <w:rsid w:val="00A4731A"/>
    <w:rsid w:val="00A9088A"/>
    <w:rsid w:val="00AF1DB8"/>
    <w:rsid w:val="00B075AA"/>
    <w:rsid w:val="00B440D3"/>
    <w:rsid w:val="00B535BC"/>
    <w:rsid w:val="00B7643B"/>
    <w:rsid w:val="00B95000"/>
    <w:rsid w:val="00B975A0"/>
    <w:rsid w:val="00BC2029"/>
    <w:rsid w:val="00BD6DC2"/>
    <w:rsid w:val="00C02D51"/>
    <w:rsid w:val="00C06882"/>
    <w:rsid w:val="00C42A9D"/>
    <w:rsid w:val="00C97FFB"/>
    <w:rsid w:val="00CA1ACF"/>
    <w:rsid w:val="00CB3332"/>
    <w:rsid w:val="00CE0ED0"/>
    <w:rsid w:val="00CE47E1"/>
    <w:rsid w:val="00CE6C3F"/>
    <w:rsid w:val="00CF670E"/>
    <w:rsid w:val="00D2209A"/>
    <w:rsid w:val="00D71204"/>
    <w:rsid w:val="00D716ED"/>
    <w:rsid w:val="00DA1F07"/>
    <w:rsid w:val="00DD238A"/>
    <w:rsid w:val="00DD3661"/>
    <w:rsid w:val="00DD3E4A"/>
    <w:rsid w:val="00DF51CE"/>
    <w:rsid w:val="00E25992"/>
    <w:rsid w:val="00E30AFB"/>
    <w:rsid w:val="00E56B7D"/>
    <w:rsid w:val="00EC0624"/>
    <w:rsid w:val="00EF1E8F"/>
    <w:rsid w:val="00F43F6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0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3661"/>
    <w:pPr>
      <w:spacing w:before="240" w:after="60"/>
      <w:outlineLvl w:val="5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764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45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90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88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8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83C"/>
  </w:style>
  <w:style w:type="character" w:styleId="FootnoteReference">
    <w:name w:val="footnote reference"/>
    <w:uiPriority w:val="99"/>
    <w:semiHidden/>
    <w:unhideWhenUsed/>
    <w:rsid w:val="003B283C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DD3661"/>
    <w:rPr>
      <w:rFonts w:ascii="Calibri" w:hAnsi="Calibri"/>
      <w:szCs w:val="32"/>
      <w:lang w:bidi="en-US"/>
    </w:rPr>
  </w:style>
  <w:style w:type="paragraph" w:customStyle="1" w:styleId="BodyText21">
    <w:name w:val="Body Text 21"/>
    <w:uiPriority w:val="99"/>
    <w:rsid w:val="00DD36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00" w:line="230" w:lineRule="atLeast"/>
      <w:ind w:right="8612"/>
    </w:pPr>
    <w:rPr>
      <w:color w:val="000000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DD3661"/>
    <w:rPr>
      <w:rFonts w:ascii="Calibri" w:hAnsi="Calibri"/>
      <w:sz w:val="24"/>
      <w:szCs w:val="32"/>
      <w:lang w:bidi="en-US"/>
    </w:rPr>
  </w:style>
  <w:style w:type="character" w:customStyle="1" w:styleId="Heading6Char">
    <w:name w:val="Heading 6 Char"/>
    <w:link w:val="Heading6"/>
    <w:uiPriority w:val="9"/>
    <w:rsid w:val="00DD3661"/>
    <w:rPr>
      <w:b/>
      <w:bCs/>
      <w:sz w:val="22"/>
      <w:szCs w:val="22"/>
      <w:lang w:bidi="en-US"/>
    </w:rPr>
  </w:style>
  <w:style w:type="paragraph" w:customStyle="1" w:styleId="BodyText31">
    <w:name w:val="Body Text 31"/>
    <w:uiPriority w:val="99"/>
    <w:rsid w:val="00DD36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00" w:line="288" w:lineRule="auto"/>
      <w:ind w:left="720" w:right="8612"/>
    </w:pPr>
    <w:rPr>
      <w:color w:val="000000"/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661"/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semiHidden/>
    <w:rsid w:val="00DD3661"/>
    <w:rPr>
      <w:rFonts w:ascii="Calibri" w:hAnsi="Calibri"/>
      <w:lang w:bidi="en-US"/>
    </w:rPr>
  </w:style>
  <w:style w:type="character" w:styleId="CommentReference">
    <w:name w:val="annotation reference"/>
    <w:uiPriority w:val="99"/>
    <w:semiHidden/>
    <w:unhideWhenUsed/>
    <w:rsid w:val="00DD36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661"/>
    <w:rPr>
      <w:rFonts w:ascii="Tahoma" w:hAnsi="Tahoma" w:cs="Tahoma"/>
      <w:sz w:val="16"/>
      <w:szCs w:val="16"/>
    </w:rPr>
  </w:style>
  <w:style w:type="paragraph" w:customStyle="1" w:styleId="BodyText32">
    <w:name w:val="Body Text 32"/>
    <w:uiPriority w:val="99"/>
    <w:rsid w:val="009942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88" w:lineRule="auto"/>
      <w:ind w:left="720" w:right="8612"/>
    </w:pPr>
    <w:rPr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4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469"/>
    <w:rPr>
      <w:rFonts w:ascii="Calibri" w:hAnsi="Calibri"/>
      <w:b/>
      <w:bCs/>
      <w:lang w:bidi="en-US"/>
    </w:rPr>
  </w:style>
  <w:style w:type="character" w:customStyle="1" w:styleId="emph">
    <w:name w:val="emph"/>
    <w:rsid w:val="000E6472"/>
  </w:style>
  <w:style w:type="character" w:styleId="Hyperlink">
    <w:name w:val="Hyperlink"/>
    <w:basedOn w:val="DefaultParagraphFont"/>
    <w:uiPriority w:val="99"/>
    <w:unhideWhenUsed/>
    <w:rsid w:val="00273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0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3661"/>
    <w:pPr>
      <w:spacing w:before="240" w:after="60"/>
      <w:outlineLvl w:val="5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764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45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90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88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8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83C"/>
  </w:style>
  <w:style w:type="character" w:styleId="FootnoteReference">
    <w:name w:val="footnote reference"/>
    <w:uiPriority w:val="99"/>
    <w:semiHidden/>
    <w:unhideWhenUsed/>
    <w:rsid w:val="003B283C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DD3661"/>
    <w:rPr>
      <w:rFonts w:ascii="Calibri" w:hAnsi="Calibri"/>
      <w:szCs w:val="32"/>
      <w:lang w:bidi="en-US"/>
    </w:rPr>
  </w:style>
  <w:style w:type="paragraph" w:customStyle="1" w:styleId="BodyText21">
    <w:name w:val="Body Text 21"/>
    <w:uiPriority w:val="99"/>
    <w:rsid w:val="00DD36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00" w:line="230" w:lineRule="atLeast"/>
      <w:ind w:right="8612"/>
    </w:pPr>
    <w:rPr>
      <w:color w:val="000000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DD3661"/>
    <w:rPr>
      <w:rFonts w:ascii="Calibri" w:hAnsi="Calibri"/>
      <w:sz w:val="24"/>
      <w:szCs w:val="32"/>
      <w:lang w:bidi="en-US"/>
    </w:rPr>
  </w:style>
  <w:style w:type="character" w:customStyle="1" w:styleId="Heading6Char">
    <w:name w:val="Heading 6 Char"/>
    <w:link w:val="Heading6"/>
    <w:uiPriority w:val="9"/>
    <w:rsid w:val="00DD3661"/>
    <w:rPr>
      <w:b/>
      <w:bCs/>
      <w:sz w:val="22"/>
      <w:szCs w:val="22"/>
      <w:lang w:bidi="en-US"/>
    </w:rPr>
  </w:style>
  <w:style w:type="paragraph" w:customStyle="1" w:styleId="BodyText31">
    <w:name w:val="Body Text 31"/>
    <w:uiPriority w:val="99"/>
    <w:rsid w:val="00DD36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00" w:line="288" w:lineRule="auto"/>
      <w:ind w:left="720" w:right="8612"/>
    </w:pPr>
    <w:rPr>
      <w:color w:val="000000"/>
      <w:sz w:val="22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661"/>
    <w:rPr>
      <w:rFonts w:ascii="Calibri" w:hAnsi="Calibri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semiHidden/>
    <w:rsid w:val="00DD3661"/>
    <w:rPr>
      <w:rFonts w:ascii="Calibri" w:hAnsi="Calibri"/>
      <w:lang w:bidi="en-US"/>
    </w:rPr>
  </w:style>
  <w:style w:type="character" w:styleId="CommentReference">
    <w:name w:val="annotation reference"/>
    <w:uiPriority w:val="99"/>
    <w:semiHidden/>
    <w:unhideWhenUsed/>
    <w:rsid w:val="00DD36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661"/>
    <w:rPr>
      <w:rFonts w:ascii="Tahoma" w:hAnsi="Tahoma" w:cs="Tahoma"/>
      <w:sz w:val="16"/>
      <w:szCs w:val="16"/>
    </w:rPr>
  </w:style>
  <w:style w:type="paragraph" w:customStyle="1" w:styleId="BodyText32">
    <w:name w:val="Body Text 32"/>
    <w:uiPriority w:val="99"/>
    <w:rsid w:val="009942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88" w:lineRule="auto"/>
      <w:ind w:left="720" w:right="8612"/>
    </w:pPr>
    <w:rPr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4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469"/>
    <w:rPr>
      <w:rFonts w:ascii="Calibri" w:hAnsi="Calibri"/>
      <w:b/>
      <w:bCs/>
      <w:lang w:bidi="en-US"/>
    </w:rPr>
  </w:style>
  <w:style w:type="character" w:customStyle="1" w:styleId="emph">
    <w:name w:val="emph"/>
    <w:rsid w:val="000E6472"/>
  </w:style>
  <w:style w:type="character" w:styleId="Hyperlink">
    <w:name w:val="Hyperlink"/>
    <w:basedOn w:val="DefaultParagraphFont"/>
    <w:uiPriority w:val="99"/>
    <w:unhideWhenUsed/>
    <w:rsid w:val="0027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ae.ncsu.edu/programs/extension/wqg/319monitoring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e.ncsu.edu/programs/extension/wqg/319monitoring/tech_not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AF9C-4A4C-4B85-9D91-C2724D75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 NMP Project Application</vt:lpstr>
    </vt:vector>
  </TitlesOfParts>
  <Company>Sony Electronics, Inc.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 NMP Project Application</dc:title>
  <dc:creator>Steven A. Dressing</dc:creator>
  <cp:lastModifiedBy>Steve</cp:lastModifiedBy>
  <cp:revision>16</cp:revision>
  <cp:lastPrinted>2011-09-21T14:23:00Z</cp:lastPrinted>
  <dcterms:created xsi:type="dcterms:W3CDTF">2011-09-21T12:52:00Z</dcterms:created>
  <dcterms:modified xsi:type="dcterms:W3CDTF">2011-09-21T17:38:00Z</dcterms:modified>
</cp:coreProperties>
</file>